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505E9" w14:textId="77777777" w:rsidR="008F6315" w:rsidRDefault="008F6315" w:rsidP="008F6315">
      <w:pPr>
        <w:pStyle w:val="BodyText"/>
        <w:spacing w:after="0" w:line="240" w:lineRule="auto"/>
        <w:ind w:right="45" w:firstLine="0"/>
        <w:jc w:val="center"/>
        <w:rPr>
          <w:sz w:val="24"/>
          <w:szCs w:val="24"/>
          <w:lang w:val="en-US"/>
        </w:rPr>
      </w:pPr>
      <w:r>
        <w:rPr>
          <w:b/>
          <w:sz w:val="48"/>
          <w:szCs w:val="48"/>
          <w:u w:val="single"/>
        </w:rPr>
        <w:t>“ТОПЛОФИКАЦИЯ-ВРАЦА</w:t>
      </w:r>
      <w:r w:rsidR="00354245" w:rsidRPr="008833C5">
        <w:rPr>
          <w:b/>
          <w:sz w:val="48"/>
          <w:szCs w:val="48"/>
          <w:u w:val="single"/>
        </w:rPr>
        <w:t xml:space="preserve"> ЕАД</w:t>
      </w:r>
    </w:p>
    <w:p w14:paraId="57E09DB9" w14:textId="77777777" w:rsidR="00354245" w:rsidRPr="00F628FA" w:rsidRDefault="00FA63C0" w:rsidP="003A6F10">
      <w:pPr>
        <w:pStyle w:val="BodyText"/>
        <w:spacing w:after="0" w:line="240" w:lineRule="auto"/>
        <w:ind w:right="45" w:firstLine="0"/>
        <w:jc w:val="center"/>
        <w:rPr>
          <w:sz w:val="22"/>
          <w:szCs w:val="22"/>
        </w:rPr>
      </w:pPr>
      <w:proofErr w:type="spellStart"/>
      <w:r w:rsidRPr="00742DCC">
        <w:rPr>
          <w:sz w:val="22"/>
          <w:szCs w:val="22"/>
        </w:rPr>
        <w:t>гр.Враца</w:t>
      </w:r>
      <w:proofErr w:type="spellEnd"/>
      <w:r w:rsidRPr="00742DCC">
        <w:rPr>
          <w:sz w:val="22"/>
          <w:szCs w:val="22"/>
          <w:lang w:val="en-US"/>
        </w:rPr>
        <w:t xml:space="preserve"> </w:t>
      </w:r>
      <w:r w:rsidR="00354245" w:rsidRPr="00742DCC">
        <w:rPr>
          <w:sz w:val="22"/>
          <w:szCs w:val="22"/>
        </w:rPr>
        <w:t>3000 ул</w:t>
      </w:r>
      <w:r w:rsidRPr="00742DCC">
        <w:rPr>
          <w:sz w:val="22"/>
          <w:szCs w:val="22"/>
        </w:rPr>
        <w:t>. “Максим Горки” № 9, тел.092/626088</w:t>
      </w:r>
      <w:r w:rsidRPr="00F628FA">
        <w:rPr>
          <w:sz w:val="22"/>
          <w:szCs w:val="22"/>
        </w:rPr>
        <w:t xml:space="preserve"> </w:t>
      </w:r>
      <w:r w:rsidRPr="00742DCC">
        <w:rPr>
          <w:sz w:val="22"/>
          <w:szCs w:val="22"/>
          <w:lang w:val="en-US"/>
        </w:rPr>
        <w:t>email</w:t>
      </w:r>
      <w:r w:rsidRPr="00F628FA">
        <w:rPr>
          <w:sz w:val="22"/>
          <w:szCs w:val="22"/>
        </w:rPr>
        <w:t xml:space="preserve">: </w:t>
      </w:r>
      <w:r w:rsidRPr="00742DCC">
        <w:rPr>
          <w:sz w:val="22"/>
          <w:szCs w:val="22"/>
          <w:lang w:val="en-US"/>
        </w:rPr>
        <w:t>office</w:t>
      </w:r>
      <w:r w:rsidRPr="00F628FA">
        <w:rPr>
          <w:sz w:val="22"/>
          <w:szCs w:val="22"/>
        </w:rPr>
        <w:t>@</w:t>
      </w:r>
      <w:proofErr w:type="spellStart"/>
      <w:r w:rsidRPr="00742DCC">
        <w:rPr>
          <w:sz w:val="22"/>
          <w:szCs w:val="22"/>
          <w:lang w:val="en-US"/>
        </w:rPr>
        <w:t>toplo</w:t>
      </w:r>
      <w:proofErr w:type="spellEnd"/>
      <w:r w:rsidRPr="00F628FA">
        <w:rPr>
          <w:sz w:val="22"/>
          <w:szCs w:val="22"/>
        </w:rPr>
        <w:t>-</w:t>
      </w:r>
      <w:proofErr w:type="spellStart"/>
      <w:r w:rsidRPr="00742DCC">
        <w:rPr>
          <w:sz w:val="22"/>
          <w:szCs w:val="22"/>
          <w:lang w:val="en-US"/>
        </w:rPr>
        <w:t>vr</w:t>
      </w:r>
      <w:proofErr w:type="spellEnd"/>
      <w:r w:rsidRPr="00F628FA">
        <w:rPr>
          <w:sz w:val="22"/>
          <w:szCs w:val="22"/>
        </w:rPr>
        <w:t>.</w:t>
      </w:r>
      <w:r w:rsidRPr="00742DCC">
        <w:rPr>
          <w:sz w:val="22"/>
          <w:szCs w:val="22"/>
          <w:lang w:val="en-US"/>
        </w:rPr>
        <w:t>com</w:t>
      </w:r>
    </w:p>
    <w:p w14:paraId="57A51CC3" w14:textId="77777777" w:rsidR="0097485C" w:rsidRDefault="0097485C" w:rsidP="00D632EB">
      <w:pPr>
        <w:pStyle w:val="NoSpacing"/>
      </w:pPr>
    </w:p>
    <w:p w14:paraId="56B1999C" w14:textId="77777777" w:rsidR="0097485C" w:rsidRPr="0097485C" w:rsidRDefault="0097485C" w:rsidP="00D632EB">
      <w:pPr>
        <w:pStyle w:val="NoSpacing"/>
      </w:pPr>
    </w:p>
    <w:p w14:paraId="72577D53" w14:textId="77777777" w:rsidR="00C10AEB" w:rsidRPr="00021F3E" w:rsidRDefault="00C10AEB" w:rsidP="00C10AEB">
      <w:pPr>
        <w:framePr w:w="945" w:hSpace="180" w:wrap="around" w:vAnchor="text" w:hAnchor="page" w:x="1422" w:y="-1489"/>
        <w:rPr>
          <w:lang w:val="en-US"/>
        </w:rPr>
      </w:pPr>
      <w:r>
        <w:object w:dxaOrig="1461" w:dyaOrig="1461" w14:anchorId="470253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Word.Picture.8" ShapeID="_x0000_i1025" DrawAspect="Content" ObjectID="_1804656566" r:id="rId9"/>
        </w:object>
      </w:r>
    </w:p>
    <w:p w14:paraId="216FC7AC" w14:textId="77777777" w:rsidR="00283C3C" w:rsidRPr="00283C3C" w:rsidRDefault="00283C3C" w:rsidP="00D632EB">
      <w:pPr>
        <w:pStyle w:val="NoSpacing"/>
        <w:rPr>
          <w:lang w:val="en-US"/>
        </w:rPr>
      </w:pPr>
    </w:p>
    <w:p w14:paraId="220F6F32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2EA7A220" w14:textId="77777777" w:rsidR="0097485C" w:rsidRDefault="0097485C" w:rsidP="0097485C">
      <w:pPr>
        <w:spacing w:after="0"/>
        <w:jc w:val="center"/>
        <w:outlineLvl w:val="0"/>
        <w:rPr>
          <w:rFonts w:ascii="Liberation Sans Narrow" w:hAnsi="Liberation Sans Narrow" w:cs="Consolas"/>
          <w:sz w:val="24"/>
          <w:szCs w:val="24"/>
        </w:rPr>
      </w:pPr>
    </w:p>
    <w:p w14:paraId="2B257740" w14:textId="77777777" w:rsidR="00F756C2" w:rsidRPr="00C909C6" w:rsidRDefault="00F756C2" w:rsidP="00F756C2">
      <w:pPr>
        <w:spacing w:after="0"/>
        <w:jc w:val="center"/>
        <w:outlineLvl w:val="0"/>
        <w:rPr>
          <w:rFonts w:ascii="Liberation Sans Narrow" w:hAnsi="Liberation Sans Narrow" w:cs="Consolas"/>
          <w:sz w:val="48"/>
          <w:szCs w:val="48"/>
        </w:rPr>
      </w:pPr>
      <w:r w:rsidRPr="00C909C6">
        <w:rPr>
          <w:rFonts w:ascii="Liberation Sans Narrow" w:hAnsi="Liberation Sans Narrow" w:cs="Consolas"/>
          <w:sz w:val="48"/>
          <w:szCs w:val="48"/>
        </w:rPr>
        <w:t>ОБОСНОВКА</w:t>
      </w:r>
    </w:p>
    <w:p w14:paraId="575C90AA" w14:textId="77777777" w:rsidR="00F756C2" w:rsidRPr="00C909C6" w:rsidRDefault="00F756C2" w:rsidP="00F756C2">
      <w:pPr>
        <w:spacing w:after="0"/>
        <w:jc w:val="center"/>
        <w:outlineLvl w:val="0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 xml:space="preserve">на прогнозните разходи към предложението за утвърждаване </w:t>
      </w:r>
    </w:p>
    <w:p w14:paraId="1526AF5D" w14:textId="77777777" w:rsidR="00F756C2" w:rsidRPr="00C909C6" w:rsidRDefault="00F756C2" w:rsidP="00F756C2">
      <w:pPr>
        <w:spacing w:after="0"/>
        <w:jc w:val="center"/>
        <w:outlineLvl w:val="0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цени на електрическа и топлинна енергия</w:t>
      </w:r>
    </w:p>
    <w:p w14:paraId="082241F4" w14:textId="77777777" w:rsidR="00F756C2" w:rsidRPr="00C909C6" w:rsidRDefault="00F756C2" w:rsidP="00F756C2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2548E5D7" w14:textId="77777777" w:rsidR="00F756C2" w:rsidRPr="00C909C6" w:rsidRDefault="00F756C2" w:rsidP="00F756C2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78A6256B" w14:textId="737FB4FC" w:rsidR="00F756C2" w:rsidRPr="00C909C6" w:rsidRDefault="00F756C2" w:rsidP="00F756C2">
      <w:p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ab/>
        <w:t>Като база за изготвяне на прогнозата за формирането на цените на топлинната енергия и електрическата енергия от комбинирано производство за новия регулаторен период започващ от 01 Юли 20</w:t>
      </w:r>
      <w:r w:rsidRPr="00C909C6">
        <w:rPr>
          <w:rFonts w:ascii="Liberation Sans Narrow" w:hAnsi="Liberation Sans Narrow" w:cs="Consolas"/>
          <w:sz w:val="24"/>
          <w:szCs w:val="24"/>
          <w:lang w:val="en-US"/>
        </w:rPr>
        <w:t>2</w:t>
      </w:r>
      <w:r>
        <w:rPr>
          <w:rFonts w:ascii="Liberation Sans Narrow" w:hAnsi="Liberation Sans Narrow" w:cs="Consolas"/>
          <w:sz w:val="24"/>
          <w:szCs w:val="24"/>
        </w:rPr>
        <w:t>5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 е използвана отчетната информация за 202</w:t>
      </w:r>
      <w:r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 За следващия регулаторен период започващ от 01.07.20</w:t>
      </w:r>
      <w:r w:rsidRPr="00C909C6">
        <w:rPr>
          <w:rFonts w:ascii="Liberation Sans Narrow" w:hAnsi="Liberation Sans Narrow" w:cs="Consolas"/>
          <w:sz w:val="24"/>
          <w:szCs w:val="24"/>
          <w:lang w:val="en-US"/>
        </w:rPr>
        <w:t>2</w:t>
      </w:r>
      <w:r>
        <w:rPr>
          <w:rFonts w:ascii="Liberation Sans Narrow" w:hAnsi="Liberation Sans Narrow" w:cs="Consolas"/>
          <w:sz w:val="24"/>
          <w:szCs w:val="24"/>
        </w:rPr>
        <w:t>5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</w:t>
      </w:r>
      <w:r w:rsidRPr="00C909C6">
        <w:rPr>
          <w:rFonts w:ascii="Liberation Sans Narrow" w:hAnsi="Liberation Sans Narrow" w:cs="Consolas"/>
          <w:sz w:val="24"/>
          <w:szCs w:val="24"/>
          <w:lang w:val="en-US"/>
        </w:rPr>
        <w:t>,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разходите са прогнозирани на база отчета за 202</w:t>
      </w:r>
      <w:r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</w:t>
      </w:r>
      <w:r w:rsidRPr="00C909C6">
        <w:rPr>
          <w:rFonts w:ascii="Liberation Sans Narrow" w:hAnsi="Liberation Sans Narrow" w:cs="Consolas"/>
          <w:sz w:val="24"/>
          <w:szCs w:val="24"/>
          <w:lang w:val="en-US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t>Увеличение е извършено само за разходите</w:t>
      </w:r>
      <w:r w:rsidR="004E06D3">
        <w:rPr>
          <w:rFonts w:ascii="Liberation Sans Narrow" w:hAnsi="Liberation Sans Narrow" w:cs="Consolas"/>
          <w:sz w:val="24"/>
          <w:szCs w:val="24"/>
        </w:rPr>
        <w:t>,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за които е преценено че съществува  обективна причина за промяната им. По групи, разходите са, както следва:</w:t>
      </w:r>
    </w:p>
    <w:p w14:paraId="18F6828B" w14:textId="77777777" w:rsidR="00F756C2" w:rsidRPr="00C909C6" w:rsidRDefault="00F756C2" w:rsidP="00F756C2">
      <w:p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43FACDF6" w14:textId="77777777" w:rsidR="00F756C2" w:rsidRPr="00C909C6" w:rsidRDefault="00F756C2" w:rsidP="00F756C2">
      <w:pPr>
        <w:pStyle w:val="ListParagraph"/>
        <w:numPr>
          <w:ilvl w:val="0"/>
          <w:numId w:val="4"/>
        </w:numPr>
        <w:shd w:val="clear" w:color="auto" w:fill="FFFFFF" w:themeFill="background1"/>
        <w:spacing w:after="0"/>
        <w:ind w:left="1134" w:hanging="429"/>
        <w:jc w:val="both"/>
        <w:rPr>
          <w:rFonts w:ascii="Liberation Sans Narrow" w:hAnsi="Liberation Sans Narrow" w:cs="Consolas"/>
          <w:b/>
          <w:sz w:val="24"/>
          <w:szCs w:val="24"/>
          <w:u w:val="single"/>
        </w:rPr>
      </w:pPr>
      <w:r w:rsidRPr="00C909C6">
        <w:rPr>
          <w:rFonts w:ascii="Liberation Sans Narrow" w:hAnsi="Liberation Sans Narrow" w:cs="Consolas"/>
          <w:b/>
          <w:sz w:val="24"/>
          <w:szCs w:val="24"/>
          <w:u w:val="single"/>
        </w:rPr>
        <w:t>Условно постоянните разходи</w:t>
      </w:r>
    </w:p>
    <w:p w14:paraId="07BC2A71" w14:textId="07144D52" w:rsidR="00F756C2" w:rsidRPr="00C909C6" w:rsidRDefault="00F756C2" w:rsidP="00F756C2">
      <w:pPr>
        <w:pStyle w:val="ListParagraph"/>
        <w:shd w:val="clear" w:color="auto" w:fill="FFFFFF" w:themeFill="background1"/>
        <w:spacing w:after="0"/>
        <w:ind w:left="1134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Прогнозата на условно постоянните разходи за новия регулаторен период е изготвена на база отчетни данни към 31.12.202</w:t>
      </w:r>
      <w:r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 Промените в прогнозата на условно постоянните разходи за новия ценови период, спрямо предходната година, са във връзка с променени цени на услуги, резервни части и ремонти, заложени планови и текущи ремонти по ремонтната програма.</w:t>
      </w:r>
    </w:p>
    <w:p w14:paraId="58B4DCE2" w14:textId="77777777" w:rsidR="00F756C2" w:rsidRPr="00C909C6" w:rsidRDefault="00F756C2" w:rsidP="00F756C2">
      <w:p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2D8AADE8" w14:textId="151F4A6A" w:rsidR="00F756C2" w:rsidRPr="00C909C6" w:rsidRDefault="00F756C2" w:rsidP="00F756C2">
      <w:pPr>
        <w:pStyle w:val="ListParagraph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Разходи за амортизации са определени на основата на амортизационен план изготвен в съответствие с</w:t>
      </w:r>
      <w:r>
        <w:rPr>
          <w:rFonts w:ascii="Liberation Sans Narrow" w:hAnsi="Liberation Sans Narrow" w:cs="Consolas"/>
          <w:sz w:val="24"/>
          <w:szCs w:val="24"/>
          <w:lang w:val="en-US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t>очаквания полезен живот съгласно изискванията на МСС. За следващия регулаторен период очакваме общия размер на разходите за амортизации да покажат минимално увеличение в следствие на новопридобити дълготрайни активи през 202</w:t>
      </w:r>
      <w:r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</w:t>
      </w:r>
    </w:p>
    <w:p w14:paraId="3C3E7506" w14:textId="77777777" w:rsidR="00F756C2" w:rsidRPr="004004B3" w:rsidRDefault="00F756C2" w:rsidP="00F756C2">
      <w:pPr>
        <w:pStyle w:val="ListParagraph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B615C2">
        <w:rPr>
          <w:rFonts w:ascii="Liberation Sans Narrow" w:hAnsi="Liberation Sans Narrow" w:cs="Consolas"/>
          <w:sz w:val="24"/>
          <w:szCs w:val="24"/>
        </w:rPr>
        <w:t xml:space="preserve">Разходите за ремонт са прогнозирани на база изготвената и утвърдена ремонтна програма за ценовия период в дружеството. Програмата за ремонти е съизмерима с  </w:t>
      </w:r>
      <w:r w:rsidRPr="004004B3">
        <w:rPr>
          <w:rFonts w:ascii="Liberation Sans Narrow" w:hAnsi="Liberation Sans Narrow" w:cs="Consolas"/>
          <w:sz w:val="24"/>
          <w:szCs w:val="24"/>
        </w:rPr>
        <w:t>отчета за предходната година, минималното нарастване се дължи на следните фактори:</w:t>
      </w:r>
    </w:p>
    <w:p w14:paraId="431C358E" w14:textId="5C076EB3" w:rsidR="00F756C2" w:rsidRPr="004004B3" w:rsidRDefault="00F756C2" w:rsidP="00F756C2">
      <w:pPr>
        <w:pStyle w:val="ListParagraph"/>
        <w:numPr>
          <w:ilvl w:val="1"/>
          <w:numId w:val="3"/>
        </w:numPr>
        <w:shd w:val="clear" w:color="auto" w:fill="FFFFFF" w:themeFill="background1"/>
        <w:jc w:val="both"/>
        <w:rPr>
          <w:rFonts w:ascii="Liberation Sans Narrow" w:hAnsi="Liberation Sans Narrow" w:cs="Consolas"/>
          <w:sz w:val="24"/>
          <w:szCs w:val="24"/>
        </w:rPr>
      </w:pPr>
      <w:r w:rsidRPr="004004B3">
        <w:rPr>
          <w:rFonts w:ascii="Liberation Sans Narrow" w:hAnsi="Liberation Sans Narrow" w:cs="Consolas"/>
          <w:sz w:val="24"/>
          <w:szCs w:val="24"/>
        </w:rPr>
        <w:t>Предстоящи в рамката на ценовия период ремонти на инсталациите за високоефективно комбинирано производство н</w:t>
      </w:r>
      <w:r w:rsidR="004E06D3">
        <w:rPr>
          <w:rFonts w:ascii="Liberation Sans Narrow" w:hAnsi="Liberation Sans Narrow" w:cs="Consolas"/>
          <w:sz w:val="24"/>
          <w:szCs w:val="24"/>
        </w:rPr>
        <w:t>а</w:t>
      </w:r>
      <w:r w:rsidRPr="004004B3">
        <w:rPr>
          <w:rFonts w:ascii="Liberation Sans Narrow" w:hAnsi="Liberation Sans Narrow" w:cs="Consolas"/>
          <w:sz w:val="24"/>
          <w:szCs w:val="24"/>
        </w:rPr>
        <w:t xml:space="preserve"> електрическа и топлинна енергия в ТЕЦ Градска на </w:t>
      </w:r>
      <w:proofErr w:type="spellStart"/>
      <w:r w:rsidRPr="004004B3">
        <w:rPr>
          <w:rFonts w:ascii="Liberation Sans Narrow" w:hAnsi="Liberation Sans Narrow" w:cs="Consolas"/>
          <w:sz w:val="24"/>
          <w:szCs w:val="24"/>
        </w:rPr>
        <w:t>когенератор</w:t>
      </w:r>
      <w:proofErr w:type="spellEnd"/>
      <w:r w:rsidRPr="004004B3">
        <w:rPr>
          <w:rFonts w:ascii="Liberation Sans Narrow" w:hAnsi="Liberation Sans Narrow" w:cs="Consolas"/>
          <w:sz w:val="24"/>
          <w:szCs w:val="24"/>
        </w:rPr>
        <w:t xml:space="preserve"> 1</w:t>
      </w:r>
      <w:r>
        <w:rPr>
          <w:rFonts w:ascii="Liberation Sans Narrow" w:hAnsi="Liberation Sans Narrow" w:cs="Consolas"/>
          <w:sz w:val="24"/>
          <w:szCs w:val="24"/>
        </w:rPr>
        <w:t xml:space="preserve"> и 2</w:t>
      </w:r>
      <w:r w:rsidRPr="004004B3">
        <w:rPr>
          <w:rFonts w:ascii="Liberation Sans Narrow" w:hAnsi="Liberation Sans Narrow" w:cs="Consolas"/>
          <w:sz w:val="24"/>
          <w:szCs w:val="24"/>
        </w:rPr>
        <w:t xml:space="preserve">. Ремонтите ще гарантират безаварийна работа през ценовия период и необходимата топлинна енергия за топлопреносната система. Основната част от  ремонтите ще се извършват със собствени сили. За дейностите по доставка на необходимите резервни части </w:t>
      </w:r>
      <w:r>
        <w:rPr>
          <w:rFonts w:ascii="Liberation Sans Narrow" w:hAnsi="Liberation Sans Narrow" w:cs="Consolas"/>
          <w:sz w:val="24"/>
          <w:szCs w:val="24"/>
        </w:rPr>
        <w:t>ще бъдат</w:t>
      </w:r>
      <w:r w:rsidRPr="004004B3">
        <w:rPr>
          <w:rFonts w:ascii="Liberation Sans Narrow" w:hAnsi="Liberation Sans Narrow" w:cs="Consolas"/>
          <w:sz w:val="24"/>
          <w:szCs w:val="24"/>
        </w:rPr>
        <w:t xml:space="preserve"> сключени договори по реда на ЗОП за доставка на резервни части</w:t>
      </w:r>
      <w:r>
        <w:rPr>
          <w:rFonts w:ascii="Liberation Sans Narrow" w:hAnsi="Liberation Sans Narrow" w:cs="Consolas"/>
          <w:sz w:val="24"/>
          <w:szCs w:val="24"/>
        </w:rPr>
        <w:t>.</w:t>
      </w:r>
    </w:p>
    <w:p w14:paraId="2C3F6247" w14:textId="77777777" w:rsidR="00F756C2" w:rsidRPr="004004B3" w:rsidRDefault="00F756C2" w:rsidP="00F756C2">
      <w:pPr>
        <w:pStyle w:val="ListParagraph"/>
        <w:numPr>
          <w:ilvl w:val="1"/>
          <w:numId w:val="3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4004B3">
        <w:rPr>
          <w:rFonts w:ascii="Liberation Sans Narrow" w:hAnsi="Liberation Sans Narrow" w:cs="Consolas"/>
          <w:sz w:val="24"/>
          <w:szCs w:val="24"/>
        </w:rPr>
        <w:t xml:space="preserve">Обслужване на инсталацията за високоефективно комбинирано производство на електрическа и топлинна енергия в ОЦ ”Младост”, съгласно предписанията на завода производител. Видовете работи на </w:t>
      </w:r>
      <w:r w:rsidRPr="004004B3">
        <w:rPr>
          <w:rFonts w:ascii="Liberation Sans Narrow" w:hAnsi="Liberation Sans Narrow" w:cs="Consolas"/>
          <w:sz w:val="24"/>
          <w:szCs w:val="24"/>
        </w:rPr>
        <w:lastRenderedPageBreak/>
        <w:t>необходимия брой работни часове се изпълняват на база сключено рамково споразумение с „Филтър” АД.</w:t>
      </w:r>
    </w:p>
    <w:p w14:paraId="16AA0188" w14:textId="77777777" w:rsidR="00F756C2" w:rsidRPr="00B615C2" w:rsidRDefault="00F756C2" w:rsidP="00F756C2">
      <w:pPr>
        <w:pStyle w:val="ListParagraph"/>
        <w:numPr>
          <w:ilvl w:val="1"/>
          <w:numId w:val="3"/>
        </w:numPr>
        <w:shd w:val="clear" w:color="auto" w:fill="FFFFFF" w:themeFill="background1"/>
        <w:jc w:val="both"/>
        <w:rPr>
          <w:rFonts w:ascii="Liberation Sans Narrow" w:hAnsi="Liberation Sans Narrow" w:cs="Consolas"/>
          <w:sz w:val="24"/>
          <w:szCs w:val="24"/>
        </w:rPr>
      </w:pPr>
      <w:r w:rsidRPr="00B615C2">
        <w:rPr>
          <w:rFonts w:ascii="Liberation Sans Narrow" w:hAnsi="Liberation Sans Narrow" w:cs="Consolas"/>
          <w:sz w:val="24"/>
          <w:szCs w:val="24"/>
        </w:rPr>
        <w:t xml:space="preserve">Подмяна на части от топлопреносната мрежа с констатирана висока </w:t>
      </w:r>
      <w:proofErr w:type="spellStart"/>
      <w:r w:rsidRPr="00B615C2">
        <w:rPr>
          <w:rFonts w:ascii="Liberation Sans Narrow" w:hAnsi="Liberation Sans Narrow" w:cs="Consolas"/>
          <w:sz w:val="24"/>
          <w:szCs w:val="24"/>
        </w:rPr>
        <w:t>аварийност</w:t>
      </w:r>
      <w:proofErr w:type="spellEnd"/>
      <w:r w:rsidRPr="00B615C2">
        <w:rPr>
          <w:rFonts w:ascii="Liberation Sans Narrow" w:hAnsi="Liberation Sans Narrow" w:cs="Consolas"/>
          <w:sz w:val="24"/>
          <w:szCs w:val="24"/>
        </w:rPr>
        <w:t xml:space="preserve">. </w:t>
      </w:r>
    </w:p>
    <w:p w14:paraId="130979AD" w14:textId="77777777" w:rsidR="00F756C2" w:rsidRPr="00C909C6" w:rsidRDefault="00F756C2" w:rsidP="00F756C2">
      <w:p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Дружеството ни ежегодно изпълнява дейности по отстраняване на аварии по топлопреносната мрежа за намаляване на технологичните разходи по преноса на топлинна енергия.</w:t>
      </w:r>
    </w:p>
    <w:p w14:paraId="6D8DAF52" w14:textId="3194C26B" w:rsidR="00F756C2" w:rsidRPr="00C909C6" w:rsidRDefault="00F756C2" w:rsidP="00F756C2">
      <w:p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През 202</w:t>
      </w:r>
      <w:r>
        <w:rPr>
          <w:rFonts w:ascii="Liberation Sans Narrow" w:hAnsi="Liberation Sans Narrow" w:cs="Consolas"/>
          <w:sz w:val="24"/>
          <w:szCs w:val="24"/>
        </w:rPr>
        <w:t>4</w:t>
      </w:r>
      <w:r>
        <w:rPr>
          <w:rFonts w:ascii="Liberation Sans Narrow" w:hAnsi="Liberation Sans Narrow" w:cs="Consolas"/>
          <w:sz w:val="24"/>
          <w:szCs w:val="24"/>
          <w:lang w:val="en-US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t>г</w:t>
      </w:r>
      <w:r>
        <w:rPr>
          <w:rFonts w:ascii="Liberation Sans Narrow" w:hAnsi="Liberation Sans Narrow" w:cs="Consolas"/>
          <w:sz w:val="24"/>
          <w:szCs w:val="24"/>
          <w:lang w:val="en-US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отчетените технологичните разходи по преноса са </w:t>
      </w:r>
      <w:r w:rsidR="00E91782">
        <w:rPr>
          <w:rFonts w:ascii="Liberation Sans Narrow" w:hAnsi="Liberation Sans Narrow" w:cs="Consolas"/>
          <w:sz w:val="24"/>
          <w:szCs w:val="24"/>
        </w:rPr>
        <w:t>ХХХ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% и с изпълнение на предвидените дейности в ремонтната програма предвиждаме достигане на </w:t>
      </w:r>
      <w:r w:rsidR="00E91782">
        <w:rPr>
          <w:rFonts w:ascii="Liberation Sans Narrow" w:hAnsi="Liberation Sans Narrow" w:cs="Consolas"/>
          <w:sz w:val="24"/>
          <w:szCs w:val="24"/>
        </w:rPr>
        <w:t>ХХХ</w:t>
      </w:r>
      <w:r w:rsidRPr="00C909C6">
        <w:rPr>
          <w:rFonts w:ascii="Liberation Sans Narrow" w:hAnsi="Liberation Sans Narrow" w:cs="Consolas"/>
          <w:sz w:val="24"/>
          <w:szCs w:val="24"/>
        </w:rPr>
        <w:t>%.</w:t>
      </w:r>
    </w:p>
    <w:p w14:paraId="6F8BD5F2" w14:textId="3035C1C4" w:rsidR="00F756C2" w:rsidRPr="00C909C6" w:rsidRDefault="00F756C2" w:rsidP="00F756C2">
      <w:pPr>
        <w:pStyle w:val="ListParagraph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Разходите за персонала и съответните плащания за осигуровки са прогнозирани на база достигнати разходи през 202</w:t>
      </w:r>
      <w:r w:rsidR="00387904"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г., и заложено увеличени във връзка с промяната на минималната работна заплата за страната и свързаните с това увеличение на допълнителните плащания на база договорени основни заплати. Предвидено е и увеличение на средствата за работни заплати с цел попълване на незаетите работни места по звената за окомплектоване на сменния персонал поради завишено текучество и затруднения при намиране на персонал с необходимата ни квалификация.</w:t>
      </w:r>
    </w:p>
    <w:p w14:paraId="629B9A2D" w14:textId="77777777" w:rsidR="00F756C2" w:rsidRPr="008C28F5" w:rsidRDefault="00F756C2" w:rsidP="00F756C2">
      <w:pPr>
        <w:pStyle w:val="ListParagraph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 xml:space="preserve">Увеличението на разходите за осигурителни вноски е във връзка с увеличените </w:t>
      </w:r>
      <w:r w:rsidRPr="008C28F5">
        <w:rPr>
          <w:rFonts w:ascii="Liberation Sans Narrow" w:hAnsi="Liberation Sans Narrow" w:cs="Consolas"/>
          <w:sz w:val="24"/>
          <w:szCs w:val="24"/>
        </w:rPr>
        <w:t>разходи за заплати и възнаграждения.</w:t>
      </w:r>
    </w:p>
    <w:p w14:paraId="06769488" w14:textId="4B3F7432" w:rsidR="00F756C2" w:rsidRPr="00C909C6" w:rsidRDefault="00F756C2" w:rsidP="00F756C2">
      <w:pPr>
        <w:pStyle w:val="ListParagraph"/>
        <w:shd w:val="clear" w:color="auto" w:fill="FFFFFF" w:themeFill="background1"/>
        <w:spacing w:after="0"/>
        <w:ind w:left="1420"/>
        <w:jc w:val="both"/>
        <w:rPr>
          <w:rFonts w:ascii="Liberation Sans Narrow" w:hAnsi="Liberation Sans Narrow" w:cs="Consolas"/>
          <w:sz w:val="24"/>
          <w:szCs w:val="24"/>
        </w:rPr>
      </w:pPr>
      <w:r w:rsidRPr="008C28F5">
        <w:rPr>
          <w:rFonts w:ascii="Liberation Sans Narrow" w:hAnsi="Liberation Sans Narrow" w:cs="Consolas"/>
          <w:sz w:val="24"/>
          <w:szCs w:val="24"/>
        </w:rPr>
        <w:t>Увеличението на социалните разходи, заложено в прогнозата за 202</w:t>
      </w:r>
      <w:r w:rsidR="00387904">
        <w:rPr>
          <w:rFonts w:ascii="Liberation Sans Narrow" w:hAnsi="Liberation Sans Narrow" w:cs="Consolas"/>
          <w:sz w:val="24"/>
          <w:szCs w:val="24"/>
        </w:rPr>
        <w:t>5</w:t>
      </w:r>
      <w:r w:rsidRPr="008C28F5">
        <w:rPr>
          <w:rFonts w:ascii="Liberation Sans Narrow" w:hAnsi="Liberation Sans Narrow" w:cs="Consolas"/>
          <w:sz w:val="24"/>
          <w:szCs w:val="24"/>
        </w:rPr>
        <w:t xml:space="preserve"> г. е на база отчета за 202</w:t>
      </w:r>
      <w:r w:rsidR="00387904">
        <w:rPr>
          <w:rFonts w:ascii="Liberation Sans Narrow" w:hAnsi="Liberation Sans Narrow" w:cs="Consolas"/>
          <w:sz w:val="24"/>
          <w:szCs w:val="24"/>
        </w:rPr>
        <w:t>4</w:t>
      </w:r>
      <w:r w:rsidRPr="008C28F5">
        <w:rPr>
          <w:rFonts w:ascii="Liberation Sans Narrow" w:hAnsi="Liberation Sans Narrow" w:cs="Consolas"/>
          <w:sz w:val="24"/>
          <w:szCs w:val="24"/>
        </w:rPr>
        <w:t xml:space="preserve"> г. Минималното увеличение заложено за 202</w:t>
      </w:r>
      <w:r w:rsidR="00387904">
        <w:rPr>
          <w:rFonts w:ascii="Liberation Sans Narrow" w:hAnsi="Liberation Sans Narrow" w:cs="Consolas"/>
          <w:sz w:val="24"/>
          <w:szCs w:val="24"/>
        </w:rPr>
        <w:t>5</w:t>
      </w:r>
      <w:r w:rsidRPr="008C28F5">
        <w:rPr>
          <w:rFonts w:ascii="Liberation Sans Narrow" w:hAnsi="Liberation Sans Narrow" w:cs="Consolas"/>
          <w:sz w:val="24"/>
          <w:szCs w:val="24"/>
        </w:rPr>
        <w:t xml:space="preserve"> г. е във връзка с увеличението на персонала</w:t>
      </w:r>
      <w:bookmarkStart w:id="0" w:name="_Hlk99358843"/>
      <w:r w:rsidRPr="008C28F5">
        <w:rPr>
          <w:rFonts w:ascii="Liberation Sans Narrow" w:hAnsi="Liberation Sans Narrow" w:cs="Consolas"/>
          <w:sz w:val="24"/>
          <w:szCs w:val="24"/>
        </w:rPr>
        <w:t>.</w:t>
      </w:r>
      <w:bookmarkEnd w:id="0"/>
    </w:p>
    <w:p w14:paraId="0E2CD344" w14:textId="1D1AE895" w:rsidR="00F756C2" w:rsidRPr="00C909C6" w:rsidRDefault="00F756C2" w:rsidP="00F756C2">
      <w:pPr>
        <w:pStyle w:val="ListParagraph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Разходите пряко свързани с регулираните дейности за новия ценови период са прогнозирани на база достигнатите разходи по отчет за 202</w:t>
      </w:r>
      <w:r w:rsidR="00387904"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 и съответните корекции във връзка с увеличените цени на горивата, енергията, материалите, резервните части и услугите.</w:t>
      </w:r>
      <w:r>
        <w:rPr>
          <w:rFonts w:ascii="Liberation Sans Narrow" w:hAnsi="Liberation Sans Narrow" w:cs="Consolas"/>
          <w:sz w:val="24"/>
          <w:szCs w:val="24"/>
          <w:lang w:val="en-US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Най-голямо увеличение, има в </w:t>
      </w:r>
      <w:r w:rsidR="00387904">
        <w:rPr>
          <w:rFonts w:ascii="Liberation Sans Narrow" w:hAnsi="Liberation Sans Narrow" w:cs="Consolas"/>
          <w:sz w:val="24"/>
          <w:szCs w:val="24"/>
        </w:rPr>
        <w:t>две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</w:t>
      </w:r>
      <w:r>
        <w:rPr>
          <w:rFonts w:ascii="Liberation Sans Narrow" w:hAnsi="Liberation Sans Narrow" w:cs="Consolas"/>
          <w:sz w:val="24"/>
          <w:szCs w:val="24"/>
        </w:rPr>
        <w:t xml:space="preserve">позиции </w:t>
      </w:r>
      <w:r w:rsidRPr="00C909C6">
        <w:rPr>
          <w:rFonts w:ascii="Liberation Sans Narrow" w:hAnsi="Liberation Sans Narrow" w:cs="Consolas"/>
          <w:sz w:val="24"/>
          <w:szCs w:val="24"/>
        </w:rPr>
        <w:t>на разходите – абонаментно поддържане</w:t>
      </w:r>
      <w:r w:rsidR="00387904">
        <w:rPr>
          <w:rFonts w:ascii="Liberation Sans Narrow" w:hAnsi="Liberation Sans Narrow" w:cs="Consolas"/>
          <w:sz w:val="24"/>
          <w:szCs w:val="24"/>
        </w:rPr>
        <w:t xml:space="preserve"> и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безплатна храна съгласно нормативен акт</w:t>
      </w:r>
      <w:r>
        <w:rPr>
          <w:rFonts w:ascii="Liberation Sans Narrow" w:hAnsi="Liberation Sans Narrow" w:cs="Consolas"/>
          <w:sz w:val="24"/>
          <w:szCs w:val="24"/>
        </w:rPr>
        <w:t>, в това число</w:t>
      </w:r>
      <w:r w:rsidRPr="00C909C6">
        <w:rPr>
          <w:rFonts w:ascii="Liberation Sans Narrow" w:hAnsi="Liberation Sans Narrow" w:cs="Consolas"/>
          <w:sz w:val="24"/>
          <w:szCs w:val="24"/>
        </w:rPr>
        <w:t>:</w:t>
      </w:r>
    </w:p>
    <w:p w14:paraId="68B19178" w14:textId="6A520BD0" w:rsidR="00F756C2" w:rsidRPr="00C909C6" w:rsidRDefault="00F756C2" w:rsidP="00F756C2">
      <w:pPr>
        <w:pStyle w:val="ListParagraph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Разходи за абонаментно поддържане – увеличение на прогнозните разходи спрямо отчета за 202</w:t>
      </w:r>
      <w:r w:rsidR="00387904"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 с </w:t>
      </w:r>
      <w:r w:rsidR="00E91782">
        <w:rPr>
          <w:rFonts w:ascii="Liberation Sans Narrow" w:hAnsi="Liberation Sans Narrow" w:cs="Consolas"/>
          <w:sz w:val="24"/>
          <w:szCs w:val="24"/>
        </w:rPr>
        <w:t>ХХХ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х. лв. във </w:t>
      </w:r>
      <w:r>
        <w:rPr>
          <w:rFonts w:ascii="Liberation Sans Narrow" w:hAnsi="Liberation Sans Narrow" w:cs="Consolas"/>
          <w:sz w:val="24"/>
          <w:szCs w:val="24"/>
        </w:rPr>
        <w:t xml:space="preserve">връзка увеличени разходи по </w:t>
      </w:r>
      <w:r w:rsidRPr="00C909C6">
        <w:rPr>
          <w:rFonts w:ascii="Liberation Sans Narrow" w:hAnsi="Liberation Sans Narrow" w:cs="Consolas"/>
          <w:sz w:val="24"/>
          <w:szCs w:val="24"/>
        </w:rPr>
        <w:t>договори</w:t>
      </w:r>
      <w:r w:rsidR="00663854">
        <w:rPr>
          <w:rFonts w:ascii="Liberation Sans Narrow" w:hAnsi="Liberation Sans Narrow" w:cs="Consolas"/>
          <w:sz w:val="24"/>
          <w:szCs w:val="24"/>
        </w:rPr>
        <w:t>,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свързани с дейности по отстраняване на аварии по преносната мрежа и възстановяване общинска инфраструктура. Поради настъпилото увеличение цените на горивата, резервните части</w:t>
      </w:r>
      <w:r>
        <w:rPr>
          <w:rFonts w:ascii="Liberation Sans Narrow" w:hAnsi="Liberation Sans Narrow" w:cs="Consolas"/>
          <w:sz w:val="24"/>
          <w:szCs w:val="24"/>
        </w:rPr>
        <w:t>,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консумативи и материали </w:t>
      </w:r>
      <w:r>
        <w:rPr>
          <w:rFonts w:ascii="Liberation Sans Narrow" w:hAnsi="Liberation Sans Narrow" w:cs="Consolas"/>
          <w:sz w:val="24"/>
          <w:szCs w:val="24"/>
        </w:rPr>
        <w:t xml:space="preserve">има </w:t>
      </w:r>
      <w:r w:rsidRPr="00C909C6">
        <w:rPr>
          <w:rFonts w:ascii="Liberation Sans Narrow" w:hAnsi="Liberation Sans Narrow" w:cs="Consolas"/>
          <w:sz w:val="24"/>
          <w:szCs w:val="24"/>
        </w:rPr>
        <w:t>съответно завишени</w:t>
      </w:r>
      <w:r>
        <w:rPr>
          <w:rFonts w:ascii="Liberation Sans Narrow" w:hAnsi="Liberation Sans Narrow" w:cs="Consolas"/>
          <w:sz w:val="24"/>
          <w:szCs w:val="24"/>
        </w:rPr>
        <w:t>е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</w:t>
      </w:r>
      <w:r>
        <w:rPr>
          <w:rFonts w:ascii="Liberation Sans Narrow" w:hAnsi="Liberation Sans Narrow" w:cs="Consolas"/>
          <w:sz w:val="24"/>
          <w:szCs w:val="24"/>
        </w:rPr>
        <w:t xml:space="preserve">от страна на изпълнителите. 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</w:t>
      </w:r>
    </w:p>
    <w:p w14:paraId="7F26AA84" w14:textId="77777777" w:rsidR="00F756C2" w:rsidRPr="00C909C6" w:rsidRDefault="00F756C2" w:rsidP="00F756C2">
      <w:pPr>
        <w:pStyle w:val="ListParagraph"/>
        <w:shd w:val="clear" w:color="auto" w:fill="FFFFFF" w:themeFill="background1"/>
        <w:spacing w:after="0"/>
        <w:ind w:left="214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 xml:space="preserve">Към тези разходи се включени и периодичните разходи за техническа проверка, инспекция, текущо поддържане и обслужване на съоръженията и специализираната автотранспортна техника от външни фирми. </w:t>
      </w:r>
    </w:p>
    <w:p w14:paraId="096888CF" w14:textId="5D3DB78C" w:rsidR="00F756C2" w:rsidRDefault="00F756C2" w:rsidP="00F756C2">
      <w:pPr>
        <w:pStyle w:val="ListParagraph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Разходите за безплатна храна, противоотрови и други  добавки съгласно Наредба 11 са увеличени спрямо отчета за 202</w:t>
      </w:r>
      <w:r w:rsidR="00387904"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 във връзка с увеличение на персонала, въвеждането в експлоатация на новата генерираща мощност работещ с биомаса в </w:t>
      </w:r>
      <w:r w:rsidR="00387904">
        <w:rPr>
          <w:rFonts w:ascii="Liberation Sans Narrow" w:hAnsi="Liberation Sans Narrow" w:cs="Consolas"/>
          <w:sz w:val="24"/>
          <w:szCs w:val="24"/>
        </w:rPr>
        <w:t>ТЕЦ Градска</w:t>
      </w:r>
      <w:r>
        <w:rPr>
          <w:rFonts w:ascii="Liberation Sans Narrow" w:hAnsi="Liberation Sans Narrow" w:cs="Consolas"/>
          <w:sz w:val="24"/>
          <w:szCs w:val="24"/>
          <w:lang w:val="en-US"/>
        </w:rPr>
        <w:t>;</w:t>
      </w:r>
    </w:p>
    <w:p w14:paraId="01CFFC1F" w14:textId="2991E982" w:rsidR="00F756C2" w:rsidRPr="00C909C6" w:rsidRDefault="00F756C2" w:rsidP="00F756C2">
      <w:pPr>
        <w:pStyle w:val="ListParagraph"/>
        <w:shd w:val="clear" w:color="auto" w:fill="FFFFFF" w:themeFill="background1"/>
        <w:spacing w:after="0"/>
        <w:ind w:left="214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 xml:space="preserve"> </w:t>
      </w:r>
    </w:p>
    <w:p w14:paraId="2307F4A0" w14:textId="7D3811F9" w:rsidR="00F756C2" w:rsidRPr="00C909C6" w:rsidRDefault="00F756C2" w:rsidP="00F756C2">
      <w:p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Другите разходи пряко свързани с регулираните дейности по ЗЕ, бележат минимални увеличения спрямо отчета за 202</w:t>
      </w:r>
      <w:r w:rsidR="00387904"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г., и са както следва:</w:t>
      </w:r>
    </w:p>
    <w:p w14:paraId="03405CEC" w14:textId="65899626" w:rsidR="00F756C2" w:rsidRPr="00C909C6" w:rsidRDefault="00F756C2" w:rsidP="00F756C2">
      <w:pPr>
        <w:pStyle w:val="ListParagraph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 xml:space="preserve">Разходите за гориво за автотранспорт, работно облекло и канцеларски материали, материали за текущо поддържане за новия ценови период са в размер на </w:t>
      </w:r>
      <w:r w:rsidR="00E91782">
        <w:rPr>
          <w:rFonts w:ascii="Liberation Sans Narrow" w:hAnsi="Liberation Sans Narrow" w:cs="Consolas"/>
          <w:sz w:val="24"/>
          <w:szCs w:val="24"/>
        </w:rPr>
        <w:t>ХХХ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х. лв. и спрямо предходната година имат увеличение с </w:t>
      </w:r>
      <w:r w:rsidR="00E91782">
        <w:rPr>
          <w:rFonts w:ascii="Liberation Sans Narrow" w:hAnsi="Liberation Sans Narrow" w:cs="Consolas"/>
          <w:sz w:val="24"/>
          <w:szCs w:val="24"/>
        </w:rPr>
        <w:t>ХХХ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lastRenderedPageBreak/>
        <w:t>х. лв.. Увеличението се дължи основно на  увеличените цени на горивата и материалите.</w:t>
      </w:r>
    </w:p>
    <w:p w14:paraId="57397617" w14:textId="2E87F71B" w:rsidR="00F756C2" w:rsidRPr="00C909C6" w:rsidRDefault="00F756C2" w:rsidP="00F756C2">
      <w:pPr>
        <w:pStyle w:val="ListParagraph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Разходите за застраховки са на база действително сключени застрахователни полици. Изменението спрямо 202</w:t>
      </w:r>
      <w:r w:rsidR="00E14C28"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 е увеличение с </w:t>
      </w:r>
      <w:r w:rsidR="00E91782">
        <w:rPr>
          <w:rFonts w:ascii="Liberation Sans Narrow" w:hAnsi="Liberation Sans Narrow" w:cs="Consolas"/>
          <w:sz w:val="24"/>
          <w:szCs w:val="24"/>
        </w:rPr>
        <w:t>ХХХ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х. лв., поради по-висока застрахователна стойност на имуществото в следствие на новопридобитите и въведени в експлоатация през 202</w:t>
      </w:r>
      <w:r w:rsidR="00E14C28"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 активи.</w:t>
      </w:r>
    </w:p>
    <w:p w14:paraId="52743E94" w14:textId="4B469D66" w:rsidR="00F756C2" w:rsidRPr="00C909C6" w:rsidRDefault="00F756C2" w:rsidP="00F756C2">
      <w:pPr>
        <w:pStyle w:val="ListParagraph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 xml:space="preserve">Групата разходи – данъци и такси, пощенските разходи, разходите за противопожарна и въоръжена охрана, експертни,  вода, осветление и отопление, охрана на труда, разходи за публикации и лицензионни такси имат общо увеличение от </w:t>
      </w:r>
      <w:r w:rsidR="00E91782">
        <w:rPr>
          <w:rFonts w:ascii="Liberation Sans Narrow" w:hAnsi="Liberation Sans Narrow" w:cs="Consolas"/>
          <w:sz w:val="24"/>
          <w:szCs w:val="24"/>
        </w:rPr>
        <w:t xml:space="preserve">ХХХ 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х. лв. Основната причина са увеличените цени на </w:t>
      </w:r>
      <w:r>
        <w:rPr>
          <w:rFonts w:ascii="Liberation Sans Narrow" w:hAnsi="Liberation Sans Narrow" w:cs="Consolas"/>
          <w:sz w:val="24"/>
          <w:szCs w:val="24"/>
        </w:rPr>
        <w:t>доставчиците на услуги спрямо предходната година</w:t>
      </w:r>
      <w:r w:rsidRPr="00C909C6">
        <w:rPr>
          <w:rFonts w:ascii="Liberation Sans Narrow" w:hAnsi="Liberation Sans Narrow" w:cs="Consolas"/>
          <w:sz w:val="24"/>
          <w:szCs w:val="24"/>
        </w:rPr>
        <w:t>.</w:t>
      </w:r>
    </w:p>
    <w:p w14:paraId="509185A9" w14:textId="7E613152" w:rsidR="00F756C2" w:rsidRPr="00C909C6" w:rsidRDefault="00F756C2" w:rsidP="00F756C2">
      <w:pPr>
        <w:pStyle w:val="ListParagraph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Разходите за наеми през 202</w:t>
      </w:r>
      <w:r w:rsidR="00E14C28">
        <w:rPr>
          <w:rFonts w:ascii="Liberation Sans Narrow" w:hAnsi="Liberation Sans Narrow" w:cs="Consolas"/>
          <w:sz w:val="24"/>
          <w:szCs w:val="24"/>
        </w:rPr>
        <w:t>5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 бележат увеличение спрямо 202</w:t>
      </w:r>
      <w:r w:rsidR="00E14C28"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 с </w:t>
      </w:r>
      <w:r w:rsidR="00E91782">
        <w:rPr>
          <w:rFonts w:ascii="Liberation Sans Narrow" w:hAnsi="Liberation Sans Narrow" w:cs="Consolas"/>
          <w:sz w:val="24"/>
          <w:szCs w:val="24"/>
        </w:rPr>
        <w:t>ХХХ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х.</w:t>
      </w:r>
      <w:r w:rsidR="00663854">
        <w:rPr>
          <w:rFonts w:ascii="Liberation Sans Narrow" w:hAnsi="Liberation Sans Narrow" w:cs="Consolas"/>
          <w:sz w:val="24"/>
          <w:szCs w:val="24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лв. </w:t>
      </w:r>
      <w:r>
        <w:rPr>
          <w:rFonts w:ascii="Liberation Sans Narrow" w:hAnsi="Liberation Sans Narrow" w:cs="Consolas"/>
          <w:sz w:val="24"/>
          <w:szCs w:val="24"/>
        </w:rPr>
        <w:t xml:space="preserve">във връзка със </w:t>
      </w:r>
      <w:r w:rsidRPr="00C909C6">
        <w:rPr>
          <w:rFonts w:ascii="Liberation Sans Narrow" w:hAnsi="Liberation Sans Narrow" w:cs="Consolas"/>
          <w:sz w:val="24"/>
          <w:szCs w:val="24"/>
        </w:rPr>
        <w:t>сключените договори за наем на складов</w:t>
      </w:r>
      <w:r>
        <w:rPr>
          <w:rFonts w:ascii="Liberation Sans Narrow" w:hAnsi="Liberation Sans Narrow" w:cs="Consolas"/>
          <w:sz w:val="24"/>
          <w:szCs w:val="24"/>
        </w:rPr>
        <w:t>е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</w:t>
      </w:r>
      <w:r>
        <w:rPr>
          <w:rFonts w:ascii="Liberation Sans Narrow" w:hAnsi="Liberation Sans Narrow" w:cs="Consolas"/>
          <w:sz w:val="24"/>
          <w:szCs w:val="24"/>
        </w:rPr>
        <w:t>за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доставена биомаса, тъй като дружеството не разполага такива.</w:t>
      </w:r>
    </w:p>
    <w:p w14:paraId="79C192B0" w14:textId="344F116C" w:rsidR="00F756C2" w:rsidRPr="00C909C6" w:rsidRDefault="00F756C2" w:rsidP="00F756C2">
      <w:pPr>
        <w:pStyle w:val="ListParagraph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 xml:space="preserve">Съдебните разходи </w:t>
      </w:r>
      <w:r>
        <w:rPr>
          <w:rFonts w:ascii="Liberation Sans Narrow" w:hAnsi="Liberation Sans Narrow" w:cs="Consolas"/>
          <w:sz w:val="24"/>
          <w:szCs w:val="24"/>
        </w:rPr>
        <w:t xml:space="preserve">имат минимално увеличение спрямо </w:t>
      </w:r>
      <w:r w:rsidRPr="00C909C6">
        <w:rPr>
          <w:rFonts w:ascii="Liberation Sans Narrow" w:hAnsi="Liberation Sans Narrow" w:cs="Consolas"/>
          <w:sz w:val="24"/>
          <w:szCs w:val="24"/>
        </w:rPr>
        <w:t>202</w:t>
      </w:r>
      <w:r w:rsidR="00E14C28"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</w:t>
      </w:r>
      <w:r>
        <w:rPr>
          <w:rFonts w:ascii="Liberation Sans Narrow" w:hAnsi="Liberation Sans Narrow" w:cs="Consolas"/>
          <w:sz w:val="24"/>
          <w:szCs w:val="24"/>
        </w:rPr>
        <w:t xml:space="preserve"> и са в размер на </w:t>
      </w:r>
      <w:r w:rsidR="00E91782">
        <w:rPr>
          <w:rFonts w:ascii="Liberation Sans Narrow" w:hAnsi="Liberation Sans Narrow" w:cs="Consolas"/>
          <w:sz w:val="24"/>
          <w:szCs w:val="24"/>
        </w:rPr>
        <w:t>ХХХ</w:t>
      </w:r>
      <w:r>
        <w:rPr>
          <w:rFonts w:ascii="Liberation Sans Narrow" w:hAnsi="Liberation Sans Narrow" w:cs="Consolas"/>
          <w:sz w:val="24"/>
          <w:szCs w:val="24"/>
        </w:rPr>
        <w:t xml:space="preserve"> х. лв.</w:t>
      </w:r>
    </w:p>
    <w:p w14:paraId="1225522A" w14:textId="1DDED35B" w:rsidR="00F756C2" w:rsidRPr="00C909C6" w:rsidRDefault="00F756C2" w:rsidP="00F756C2">
      <w:pPr>
        <w:pStyle w:val="ListParagraph"/>
        <w:numPr>
          <w:ilvl w:val="0"/>
          <w:numId w:val="6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 xml:space="preserve">Разходите за събрано инкасо представляват изплатените суми и комисионни за събрано инкасо от Български пощи, </w:t>
      </w:r>
      <w:proofErr w:type="spellStart"/>
      <w:r w:rsidRPr="00C909C6">
        <w:rPr>
          <w:rFonts w:ascii="Liberation Sans Narrow" w:hAnsi="Liberation Sans Narrow" w:cs="Consolas"/>
          <w:sz w:val="24"/>
          <w:szCs w:val="24"/>
        </w:rPr>
        <w:t>Ипей</w:t>
      </w:r>
      <w:proofErr w:type="spellEnd"/>
      <w:r w:rsidRPr="00C909C6">
        <w:rPr>
          <w:rFonts w:ascii="Liberation Sans Narrow" w:hAnsi="Liberation Sans Narrow" w:cs="Consolas"/>
          <w:sz w:val="24"/>
          <w:szCs w:val="24"/>
        </w:rPr>
        <w:t xml:space="preserve">, </w:t>
      </w:r>
      <w:proofErr w:type="spellStart"/>
      <w:r w:rsidRPr="00C909C6">
        <w:rPr>
          <w:rFonts w:ascii="Liberation Sans Narrow" w:hAnsi="Liberation Sans Narrow" w:cs="Consolas"/>
          <w:sz w:val="24"/>
          <w:szCs w:val="24"/>
        </w:rPr>
        <w:t>Изипей</w:t>
      </w:r>
      <w:proofErr w:type="spellEnd"/>
      <w:r w:rsidRPr="00C909C6">
        <w:rPr>
          <w:rFonts w:ascii="Liberation Sans Narrow" w:hAnsi="Liberation Sans Narrow" w:cs="Consolas"/>
          <w:sz w:val="24"/>
          <w:szCs w:val="24"/>
        </w:rPr>
        <w:t xml:space="preserve">, тъй като дружеството няма други изнесени каси и пунктове за инкасиране на дължимите суми и такси от абонатите и ползва услугите на други фирми. </w:t>
      </w:r>
      <w:r>
        <w:rPr>
          <w:rFonts w:ascii="Liberation Sans Narrow" w:hAnsi="Liberation Sans Narrow" w:cs="Consolas"/>
          <w:sz w:val="24"/>
          <w:szCs w:val="24"/>
        </w:rPr>
        <w:t>Във връзка със сключените договори за инкасиране през 202</w:t>
      </w:r>
      <w:r w:rsidR="00E14C28">
        <w:rPr>
          <w:rFonts w:ascii="Liberation Sans Narrow" w:hAnsi="Liberation Sans Narrow" w:cs="Consolas"/>
          <w:sz w:val="24"/>
          <w:szCs w:val="24"/>
        </w:rPr>
        <w:t>5</w:t>
      </w:r>
      <w:r>
        <w:rPr>
          <w:rFonts w:ascii="Liberation Sans Narrow" w:hAnsi="Liberation Sans Narrow" w:cs="Consolas"/>
          <w:sz w:val="24"/>
          <w:szCs w:val="24"/>
        </w:rPr>
        <w:t xml:space="preserve"> г. е увеличена сумата за услугата спрямо предходната година с </w:t>
      </w:r>
      <w:r w:rsidR="00E91782">
        <w:rPr>
          <w:rFonts w:ascii="Liberation Sans Narrow" w:hAnsi="Liberation Sans Narrow" w:cs="Consolas"/>
          <w:sz w:val="24"/>
          <w:szCs w:val="24"/>
        </w:rPr>
        <w:t>ХХХ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х. лв.</w:t>
      </w:r>
    </w:p>
    <w:p w14:paraId="3CCDE236" w14:textId="77777777" w:rsidR="00F756C2" w:rsidRPr="00C909C6" w:rsidRDefault="00F756C2" w:rsidP="00F756C2">
      <w:pPr>
        <w:pStyle w:val="ListParagraph"/>
        <w:shd w:val="clear" w:color="auto" w:fill="FFFFFF" w:themeFill="background1"/>
        <w:rPr>
          <w:rFonts w:ascii="Liberation Sans Narrow" w:hAnsi="Liberation Sans Narrow" w:cs="Consolas"/>
          <w:sz w:val="24"/>
          <w:szCs w:val="24"/>
        </w:rPr>
      </w:pPr>
    </w:p>
    <w:p w14:paraId="416BFA00" w14:textId="77777777" w:rsidR="00F756C2" w:rsidRPr="00C909C6" w:rsidRDefault="00F756C2" w:rsidP="00F756C2">
      <w:pPr>
        <w:pStyle w:val="ListParagraph"/>
        <w:numPr>
          <w:ilvl w:val="0"/>
          <w:numId w:val="4"/>
        </w:numPr>
        <w:shd w:val="clear" w:color="auto" w:fill="FFFFFF" w:themeFill="background1"/>
        <w:spacing w:after="0"/>
        <w:ind w:left="1134" w:hanging="429"/>
        <w:jc w:val="both"/>
        <w:rPr>
          <w:rFonts w:ascii="Liberation Sans Narrow" w:hAnsi="Liberation Sans Narrow" w:cs="Consolas"/>
          <w:b/>
          <w:sz w:val="24"/>
          <w:szCs w:val="24"/>
          <w:u w:val="single"/>
        </w:rPr>
      </w:pPr>
      <w:r w:rsidRPr="00C909C6">
        <w:rPr>
          <w:rFonts w:ascii="Liberation Sans Narrow" w:hAnsi="Liberation Sans Narrow" w:cs="Consolas"/>
          <w:b/>
          <w:sz w:val="24"/>
          <w:szCs w:val="24"/>
          <w:u w:val="single"/>
        </w:rPr>
        <w:t xml:space="preserve">Променливите разходи </w:t>
      </w:r>
    </w:p>
    <w:p w14:paraId="6662974F" w14:textId="17EB02FD" w:rsidR="00F756C2" w:rsidRPr="00C909C6" w:rsidRDefault="00F756C2" w:rsidP="00F756C2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Разходите за гориво за прогнозния период 202</w:t>
      </w:r>
      <w:r w:rsidR="00E14C28">
        <w:rPr>
          <w:rFonts w:ascii="Liberation Sans Narrow" w:hAnsi="Liberation Sans Narrow" w:cs="Consolas"/>
          <w:sz w:val="24"/>
          <w:szCs w:val="24"/>
        </w:rPr>
        <w:t>5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г./202</w:t>
      </w:r>
      <w:r w:rsidR="00E14C28">
        <w:rPr>
          <w:rFonts w:ascii="Liberation Sans Narrow" w:hAnsi="Liberation Sans Narrow" w:cs="Consolas"/>
          <w:sz w:val="24"/>
          <w:szCs w:val="24"/>
        </w:rPr>
        <w:t>6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 са изчислени на база количество гориво и  прогнозна цена на природния газ през новия ценови период, с добавка за капацитет и пренос в размер </w:t>
      </w:r>
      <w:r w:rsidRPr="0009255A">
        <w:rPr>
          <w:rFonts w:ascii="Liberation Sans Narrow" w:hAnsi="Liberation Sans Narrow" w:cs="Consolas"/>
          <w:sz w:val="24"/>
          <w:szCs w:val="24"/>
        </w:rPr>
        <w:t xml:space="preserve">на </w:t>
      </w:r>
      <w:r w:rsidR="00E91782">
        <w:rPr>
          <w:rFonts w:ascii="Liberation Sans Narrow" w:hAnsi="Liberation Sans Narrow" w:cs="Consolas"/>
          <w:sz w:val="24"/>
          <w:szCs w:val="24"/>
        </w:rPr>
        <w:t>ХХХ</w:t>
      </w:r>
      <w:r w:rsidRPr="0009255A">
        <w:rPr>
          <w:rFonts w:ascii="Liberation Sans Narrow" w:hAnsi="Liberation Sans Narrow" w:cs="Consolas"/>
          <w:sz w:val="24"/>
          <w:szCs w:val="24"/>
        </w:rPr>
        <w:t xml:space="preserve">  лв./</w:t>
      </w:r>
      <w:r w:rsidRPr="0009255A">
        <w:rPr>
          <w:rFonts w:ascii="Liberation Sans Narrow" w:hAnsi="Liberation Sans Narrow" w:cs="Consolas"/>
          <w:sz w:val="24"/>
          <w:szCs w:val="24"/>
          <w:lang w:val="en-US"/>
        </w:rPr>
        <w:t>MWh</w:t>
      </w:r>
      <w:r w:rsidRPr="0009255A">
        <w:rPr>
          <w:rFonts w:ascii="Liberation Sans Narrow" w:hAnsi="Liberation Sans Narrow" w:cs="Consolas"/>
          <w:sz w:val="24"/>
          <w:szCs w:val="24"/>
        </w:rPr>
        <w:t xml:space="preserve"> при коефициент на преобразуване 10.</w:t>
      </w:r>
      <w:r w:rsidR="00913C8F">
        <w:rPr>
          <w:rFonts w:ascii="Liberation Sans Narrow" w:hAnsi="Liberation Sans Narrow" w:cs="Consolas"/>
          <w:sz w:val="24"/>
          <w:szCs w:val="24"/>
        </w:rPr>
        <w:t>74</w:t>
      </w:r>
      <w:r w:rsidRPr="0009255A">
        <w:rPr>
          <w:rFonts w:ascii="Liberation Sans Narrow" w:hAnsi="Liberation Sans Narrow" w:cs="Consolas"/>
          <w:sz w:val="24"/>
          <w:szCs w:val="24"/>
        </w:rPr>
        <w:t xml:space="preserve"> </w:t>
      </w:r>
      <w:r w:rsidRPr="0009255A">
        <w:rPr>
          <w:rFonts w:ascii="Liberation Sans Narrow" w:hAnsi="Liberation Sans Narrow" w:cs="Consolas"/>
          <w:sz w:val="24"/>
          <w:szCs w:val="24"/>
          <w:lang w:val="en-US"/>
        </w:rPr>
        <w:t>kWh/m</w:t>
      </w:r>
      <w:r w:rsidRPr="0009255A">
        <w:rPr>
          <w:rFonts w:ascii="Liberation Sans Narrow" w:hAnsi="Liberation Sans Narrow" w:cs="Consolas"/>
          <w:sz w:val="24"/>
          <w:szCs w:val="24"/>
          <w:vertAlign w:val="superscript"/>
          <w:lang w:val="en-US"/>
        </w:rPr>
        <w:t>3</w:t>
      </w:r>
      <w:r w:rsidRPr="0009255A">
        <w:rPr>
          <w:rFonts w:ascii="Liberation Sans Narrow" w:hAnsi="Liberation Sans Narrow" w:cs="Consolas"/>
          <w:sz w:val="24"/>
          <w:szCs w:val="24"/>
        </w:rPr>
        <w:t xml:space="preserve"> или – </w:t>
      </w:r>
      <w:r w:rsidR="00E91782">
        <w:rPr>
          <w:rFonts w:ascii="Liberation Sans Narrow" w:hAnsi="Liberation Sans Narrow" w:cs="Consolas"/>
          <w:sz w:val="24"/>
          <w:szCs w:val="24"/>
        </w:rPr>
        <w:t>ХХХ</w:t>
      </w:r>
      <w:r w:rsidRPr="0009255A">
        <w:rPr>
          <w:rFonts w:ascii="Liberation Sans Narrow" w:hAnsi="Liberation Sans Narrow" w:cs="Consolas"/>
          <w:sz w:val="24"/>
          <w:szCs w:val="24"/>
        </w:rPr>
        <w:t xml:space="preserve"> </w:t>
      </w:r>
      <w:proofErr w:type="spellStart"/>
      <w:r w:rsidRPr="0009255A">
        <w:rPr>
          <w:rFonts w:ascii="Liberation Sans Narrow" w:hAnsi="Liberation Sans Narrow" w:cs="Consolas"/>
          <w:sz w:val="24"/>
          <w:szCs w:val="24"/>
        </w:rPr>
        <w:t>лв</w:t>
      </w:r>
      <w:proofErr w:type="spellEnd"/>
      <w:r w:rsidRPr="0009255A">
        <w:rPr>
          <w:rFonts w:ascii="Liberation Sans Narrow" w:hAnsi="Liberation Sans Narrow" w:cs="Consolas"/>
          <w:sz w:val="24"/>
          <w:szCs w:val="24"/>
        </w:rPr>
        <w:t>/1000 н.м</w:t>
      </w:r>
      <w:r w:rsidRPr="0009255A">
        <w:rPr>
          <w:rFonts w:ascii="Liberation Sans Narrow" w:hAnsi="Liberation Sans Narrow" w:cs="Consolas"/>
          <w:sz w:val="24"/>
          <w:szCs w:val="24"/>
          <w:vertAlign w:val="superscript"/>
        </w:rPr>
        <w:t xml:space="preserve">3 </w:t>
      </w:r>
      <w:r w:rsidRPr="0009255A">
        <w:rPr>
          <w:rFonts w:ascii="Liberation Sans Narrow" w:hAnsi="Liberation Sans Narrow" w:cs="Consolas"/>
          <w:sz w:val="24"/>
          <w:szCs w:val="24"/>
        </w:rPr>
        <w:t>без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ДДС.</w:t>
      </w:r>
    </w:p>
    <w:p w14:paraId="6F538C36" w14:textId="323AE934" w:rsidR="00F756C2" w:rsidRPr="00A360BA" w:rsidRDefault="00F756C2" w:rsidP="00F756C2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Разходите за енергия, вода и консумативи са съобразени с обема на производството и действащите в момента цени.</w:t>
      </w:r>
      <w:r>
        <w:rPr>
          <w:rFonts w:ascii="Liberation Sans Narrow" w:hAnsi="Liberation Sans Narrow" w:cs="Consolas"/>
          <w:sz w:val="24"/>
          <w:szCs w:val="24"/>
          <w:lang w:val="en-US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t>В разходите</w:t>
      </w:r>
      <w:r>
        <w:rPr>
          <w:rFonts w:ascii="Liberation Sans Narrow" w:hAnsi="Liberation Sans Narrow" w:cs="Consolas"/>
          <w:sz w:val="24"/>
          <w:szCs w:val="24"/>
          <w:lang w:val="en-US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t>за консумативи/химикали и реагенти са включени разходите за химикали, реагенти и добавки за обработка на циркулиращата вода в магистралата и централите, както и за охлаждащата вода на генериращите мощности за комбинирано производство.</w:t>
      </w:r>
      <w:r>
        <w:rPr>
          <w:rFonts w:ascii="Liberation Sans Narrow" w:hAnsi="Liberation Sans Narrow" w:cs="Consolas"/>
          <w:sz w:val="24"/>
          <w:szCs w:val="24"/>
          <w:lang w:val="en-US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t>С тази обработка се цели омекотяване и химическа об</w:t>
      </w:r>
      <w:r>
        <w:rPr>
          <w:rFonts w:ascii="Liberation Sans Narrow" w:hAnsi="Liberation Sans Narrow" w:cs="Consolas"/>
          <w:sz w:val="24"/>
          <w:szCs w:val="24"/>
        </w:rPr>
        <w:t>р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аботка на водата с цел предотвратяване и забавяне процесите на корозия по магистралните топлопроводи и от там намаляване на пробивите, авариите и загубите от изтичане. В това перо са включени и разходите за масло – за доливане и подмяна, на двигателите и генераторите в инсталациите за комбинирано производство съгласно предписанията на производителя и достигнатите действителни показатели в процеса на експлоатация. В прогнозата е предвидено увеличение на тези разходи в размер на </w:t>
      </w:r>
      <w:r w:rsidR="00E91782">
        <w:rPr>
          <w:rFonts w:ascii="Liberation Sans Narrow" w:hAnsi="Liberation Sans Narrow" w:cs="Consolas"/>
          <w:sz w:val="24"/>
          <w:szCs w:val="24"/>
        </w:rPr>
        <w:t>ХХХ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х. лв.</w:t>
      </w:r>
    </w:p>
    <w:p w14:paraId="7336DDA3" w14:textId="389A467A" w:rsidR="00F756C2" w:rsidRDefault="00F756C2" w:rsidP="00F756C2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A360BA">
        <w:rPr>
          <w:rFonts w:ascii="Liberation Sans Narrow" w:hAnsi="Liberation Sans Narrow" w:cs="Consolas"/>
          <w:sz w:val="24"/>
          <w:szCs w:val="24"/>
        </w:rPr>
        <w:t>В разходи за външни услуги са включени разходите за балансиране и достъп до разпределителната мрежа. Спрямо отчета за 202</w:t>
      </w:r>
      <w:r w:rsidR="00913C8F">
        <w:rPr>
          <w:rFonts w:ascii="Liberation Sans Narrow" w:hAnsi="Liberation Sans Narrow" w:cs="Consolas"/>
          <w:sz w:val="24"/>
          <w:szCs w:val="24"/>
        </w:rPr>
        <w:t>4</w:t>
      </w:r>
      <w:r w:rsidRPr="00A360BA">
        <w:rPr>
          <w:rFonts w:ascii="Liberation Sans Narrow" w:hAnsi="Liberation Sans Narrow" w:cs="Consolas"/>
          <w:sz w:val="24"/>
          <w:szCs w:val="24"/>
        </w:rPr>
        <w:t xml:space="preserve"> г. е заложено увеличение в размер на </w:t>
      </w:r>
      <w:r w:rsidR="00E91782">
        <w:rPr>
          <w:rFonts w:ascii="Liberation Sans Narrow" w:hAnsi="Liberation Sans Narrow" w:cs="Consolas"/>
          <w:sz w:val="24"/>
          <w:szCs w:val="24"/>
        </w:rPr>
        <w:t>ХХХ</w:t>
      </w:r>
      <w:r w:rsidRPr="00A360BA">
        <w:rPr>
          <w:rFonts w:ascii="Liberation Sans Narrow" w:hAnsi="Liberation Sans Narrow" w:cs="Consolas"/>
          <w:sz w:val="24"/>
          <w:szCs w:val="24"/>
        </w:rPr>
        <w:t xml:space="preserve"> х. лв.</w:t>
      </w:r>
    </w:p>
    <w:p w14:paraId="19E201DF" w14:textId="77777777" w:rsidR="00913C8F" w:rsidRPr="00A360BA" w:rsidRDefault="00913C8F" w:rsidP="00913C8F">
      <w:pPr>
        <w:pStyle w:val="ListParagraph"/>
        <w:shd w:val="clear" w:color="auto" w:fill="FFFFFF" w:themeFill="background1"/>
        <w:spacing w:after="0"/>
        <w:ind w:left="1780"/>
        <w:jc w:val="both"/>
        <w:rPr>
          <w:rFonts w:ascii="Liberation Sans Narrow" w:hAnsi="Liberation Sans Narrow" w:cs="Consolas"/>
          <w:sz w:val="24"/>
          <w:szCs w:val="24"/>
        </w:rPr>
      </w:pPr>
    </w:p>
    <w:p w14:paraId="1AE1B752" w14:textId="77777777" w:rsidR="00F756C2" w:rsidRDefault="00F756C2" w:rsidP="00F756C2">
      <w:pPr>
        <w:pStyle w:val="ListParagraph"/>
        <w:shd w:val="clear" w:color="auto" w:fill="FFFFFF" w:themeFill="background1"/>
        <w:spacing w:after="0"/>
        <w:ind w:left="1780"/>
        <w:jc w:val="both"/>
        <w:rPr>
          <w:rFonts w:ascii="Liberation Sans Narrow" w:hAnsi="Liberation Sans Narrow" w:cs="Consolas"/>
          <w:sz w:val="24"/>
          <w:szCs w:val="24"/>
        </w:rPr>
      </w:pPr>
    </w:p>
    <w:p w14:paraId="22D9021D" w14:textId="77777777" w:rsidR="00E91782" w:rsidRPr="00C909C6" w:rsidRDefault="00E91782" w:rsidP="00F756C2">
      <w:pPr>
        <w:pStyle w:val="ListParagraph"/>
        <w:shd w:val="clear" w:color="auto" w:fill="FFFFFF" w:themeFill="background1"/>
        <w:spacing w:after="0"/>
        <w:ind w:left="1780"/>
        <w:jc w:val="both"/>
        <w:rPr>
          <w:rFonts w:ascii="Liberation Sans Narrow" w:hAnsi="Liberation Sans Narrow" w:cs="Consolas"/>
          <w:sz w:val="24"/>
          <w:szCs w:val="24"/>
        </w:rPr>
      </w:pPr>
    </w:p>
    <w:p w14:paraId="60427710" w14:textId="77777777" w:rsidR="00F756C2" w:rsidRPr="00C909C6" w:rsidRDefault="00F756C2" w:rsidP="00F756C2">
      <w:pPr>
        <w:pStyle w:val="ListParagraph"/>
        <w:numPr>
          <w:ilvl w:val="0"/>
          <w:numId w:val="4"/>
        </w:numPr>
        <w:shd w:val="clear" w:color="auto" w:fill="FFFFFF" w:themeFill="background1"/>
        <w:spacing w:after="0"/>
        <w:ind w:left="1134" w:hanging="429"/>
        <w:jc w:val="both"/>
        <w:rPr>
          <w:rFonts w:ascii="Liberation Sans Narrow" w:hAnsi="Liberation Sans Narrow" w:cs="Consolas"/>
          <w:b/>
          <w:sz w:val="24"/>
          <w:szCs w:val="24"/>
          <w:u w:val="single"/>
        </w:rPr>
      </w:pPr>
      <w:r w:rsidRPr="00C909C6">
        <w:rPr>
          <w:rFonts w:ascii="Liberation Sans Narrow" w:hAnsi="Liberation Sans Narrow" w:cs="Consolas"/>
          <w:b/>
          <w:sz w:val="24"/>
          <w:szCs w:val="24"/>
          <w:u w:val="single"/>
        </w:rPr>
        <w:lastRenderedPageBreak/>
        <w:t>Регулаторна база на активите</w:t>
      </w:r>
    </w:p>
    <w:p w14:paraId="70DE9C71" w14:textId="434730C2" w:rsidR="00F756C2" w:rsidRPr="00C909C6" w:rsidRDefault="00F756C2" w:rsidP="00F756C2">
      <w:pPr>
        <w:shd w:val="clear" w:color="auto" w:fill="FFFFFF" w:themeFill="background1"/>
        <w:spacing w:after="0"/>
        <w:ind w:left="705" w:firstLine="708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Стойността на дълготрайните активи и размера на амортизациите в Приложение №2 – Регулаторна база на активите са съгласно данните по счетоводния Баланс на Топлофикация-Враца ЕАД към 31.12.202</w:t>
      </w:r>
      <w:r w:rsidR="00913C8F"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година.</w:t>
      </w:r>
    </w:p>
    <w:p w14:paraId="27249004" w14:textId="11D70A59" w:rsidR="00F756C2" w:rsidRPr="00C909C6" w:rsidRDefault="00F756C2" w:rsidP="00F756C2">
      <w:pPr>
        <w:pStyle w:val="ListParagraph"/>
        <w:shd w:val="clear" w:color="auto" w:fill="FFFFFF" w:themeFill="background1"/>
        <w:spacing w:after="0"/>
        <w:ind w:left="709" w:firstLine="707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Размера на финансиранията за дълготрайни активи са съгласно изготвения Баланс към 31 Декември 202</w:t>
      </w:r>
      <w:r w:rsidR="00913C8F"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</w:t>
      </w:r>
    </w:p>
    <w:p w14:paraId="40B5B1C2" w14:textId="2CBC5ACF" w:rsidR="00F756C2" w:rsidRPr="00C909C6" w:rsidRDefault="00F756C2" w:rsidP="00F756C2">
      <w:pPr>
        <w:pStyle w:val="ListParagraph"/>
        <w:shd w:val="clear" w:color="auto" w:fill="FFFFFF" w:themeFill="background1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  <w:shd w:val="clear" w:color="auto" w:fill="FFFFFF" w:themeFill="background1"/>
        </w:rPr>
        <w:t>Размера на оборотни капитал е определен в съответствие с Раздел ІІ –Регулаторна база на активите на Указания за образуване цените на топлинната енергия и електрическата енергия от комбинирано производство при регулиране чрез  метода „Норма на възвращаемост на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капитала</w:t>
      </w:r>
      <w:r w:rsidR="00663854">
        <w:rPr>
          <w:rFonts w:ascii="Liberation Sans Narrow" w:hAnsi="Liberation Sans Narrow" w:cs="Consolas"/>
          <w:sz w:val="24"/>
          <w:szCs w:val="24"/>
        </w:rPr>
        <w:t>“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и данните от Баланса на дружеството за 202</w:t>
      </w:r>
      <w:r w:rsidR="00913C8F">
        <w:rPr>
          <w:rFonts w:ascii="Liberation Sans Narrow" w:hAnsi="Liberation Sans Narrow" w:cs="Consolas"/>
          <w:sz w:val="24"/>
          <w:szCs w:val="24"/>
        </w:rPr>
        <w:t>4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 Поради отрицателната му стойност в ценовия модел, размера на оборотния капитал е определен като 1/8 от признатите годишни разходи за дейността.</w:t>
      </w:r>
    </w:p>
    <w:p w14:paraId="1571442F" w14:textId="77777777" w:rsidR="00F756C2" w:rsidRPr="00C909C6" w:rsidRDefault="00F756C2" w:rsidP="00F756C2">
      <w:pPr>
        <w:pStyle w:val="ListParagraph"/>
        <w:shd w:val="clear" w:color="auto" w:fill="FFFFFF" w:themeFill="background1"/>
        <w:rPr>
          <w:rFonts w:ascii="Liberation Sans Narrow" w:hAnsi="Liberation Sans Narrow" w:cs="Consolas"/>
          <w:sz w:val="24"/>
          <w:szCs w:val="24"/>
        </w:rPr>
      </w:pPr>
    </w:p>
    <w:p w14:paraId="35517759" w14:textId="77777777" w:rsidR="00F756C2" w:rsidRPr="00C909C6" w:rsidRDefault="00F756C2" w:rsidP="00F756C2">
      <w:pPr>
        <w:pStyle w:val="ListParagraph"/>
        <w:numPr>
          <w:ilvl w:val="0"/>
          <w:numId w:val="4"/>
        </w:numPr>
        <w:shd w:val="clear" w:color="auto" w:fill="FFFFFF" w:themeFill="background1"/>
        <w:spacing w:after="0"/>
        <w:ind w:left="1134" w:hanging="429"/>
        <w:jc w:val="both"/>
        <w:rPr>
          <w:rFonts w:ascii="Liberation Sans Narrow" w:hAnsi="Liberation Sans Narrow" w:cs="Consolas"/>
          <w:b/>
          <w:sz w:val="24"/>
          <w:szCs w:val="24"/>
          <w:u w:val="single"/>
        </w:rPr>
      </w:pPr>
      <w:r w:rsidRPr="00C909C6">
        <w:rPr>
          <w:rFonts w:ascii="Liberation Sans Narrow" w:hAnsi="Liberation Sans Narrow" w:cs="Consolas"/>
          <w:b/>
          <w:sz w:val="24"/>
          <w:szCs w:val="24"/>
          <w:u w:val="single"/>
        </w:rPr>
        <w:t xml:space="preserve">Цени </w:t>
      </w:r>
    </w:p>
    <w:p w14:paraId="115C549F" w14:textId="77777777" w:rsidR="00F756C2" w:rsidRPr="00C909C6" w:rsidRDefault="00F756C2" w:rsidP="00F756C2">
      <w:p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1E270F96" w14:textId="1E220AC6" w:rsidR="00F756C2" w:rsidRPr="00C909C6" w:rsidRDefault="00F756C2" w:rsidP="00F756C2">
      <w:pPr>
        <w:shd w:val="clear" w:color="auto" w:fill="FFFFFF" w:themeFill="background1"/>
        <w:spacing w:after="0"/>
        <w:ind w:firstLine="705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В резултат на така прогнозираните разходи, количества произведена и реализирана топлинна и електрическа енергия и използвания ценови модел на Комисията за енергийно и водно регулиране за новия ценови период започващ от 01 Юли 202</w:t>
      </w:r>
      <w:r w:rsidR="00913C8F">
        <w:rPr>
          <w:rFonts w:ascii="Liberation Sans Narrow" w:hAnsi="Liberation Sans Narrow" w:cs="Consolas"/>
          <w:sz w:val="24"/>
          <w:szCs w:val="24"/>
        </w:rPr>
        <w:t>5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г. са формирани следните цени:</w:t>
      </w:r>
    </w:p>
    <w:p w14:paraId="5B8DAD54" w14:textId="77777777" w:rsidR="00F756C2" w:rsidRPr="00C909C6" w:rsidRDefault="00F756C2" w:rsidP="00F756C2">
      <w:pPr>
        <w:shd w:val="clear" w:color="auto" w:fill="FFFFFF" w:themeFill="background1"/>
        <w:spacing w:after="0"/>
        <w:ind w:firstLine="705"/>
        <w:jc w:val="both"/>
        <w:rPr>
          <w:rFonts w:ascii="Liberation Sans Narrow" w:hAnsi="Liberation Sans Narrow" w:cs="Consolas"/>
          <w:sz w:val="24"/>
          <w:szCs w:val="24"/>
        </w:rPr>
      </w:pPr>
    </w:p>
    <w:p w14:paraId="653F666D" w14:textId="5D653BFF" w:rsidR="00F756C2" w:rsidRPr="00C909C6" w:rsidRDefault="00F756C2" w:rsidP="00F756C2">
      <w:pPr>
        <w:shd w:val="clear" w:color="auto" w:fill="FFFFFF" w:themeFill="background1"/>
        <w:spacing w:after="0"/>
        <w:ind w:left="709" w:firstLine="142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Цена топлинната енергия</w:t>
      </w:r>
      <w:r w:rsidRPr="00C909C6">
        <w:rPr>
          <w:rFonts w:ascii="Liberation Sans Narrow" w:hAnsi="Liberation Sans Narrow" w:cs="Consolas"/>
          <w:sz w:val="24"/>
          <w:szCs w:val="24"/>
        </w:rPr>
        <w:tab/>
      </w:r>
      <w:r w:rsidRPr="00C909C6">
        <w:rPr>
          <w:rFonts w:ascii="Liberation Sans Narrow" w:hAnsi="Liberation Sans Narrow" w:cs="Consolas"/>
          <w:sz w:val="24"/>
          <w:szCs w:val="24"/>
        </w:rPr>
        <w:tab/>
      </w:r>
      <w:r w:rsidRPr="00C909C6">
        <w:rPr>
          <w:rFonts w:ascii="Liberation Sans Narrow" w:hAnsi="Liberation Sans Narrow" w:cs="Consolas"/>
          <w:sz w:val="24"/>
          <w:szCs w:val="24"/>
        </w:rPr>
        <w:tab/>
      </w:r>
      <w:r w:rsidRPr="00C909C6">
        <w:rPr>
          <w:rFonts w:ascii="Liberation Sans Narrow" w:hAnsi="Liberation Sans Narrow" w:cs="Consolas"/>
          <w:sz w:val="24"/>
          <w:szCs w:val="24"/>
        </w:rPr>
        <w:tab/>
      </w:r>
      <w:r w:rsidR="00663854">
        <w:rPr>
          <w:rFonts w:ascii="Liberation Sans Narrow" w:hAnsi="Liberation Sans Narrow" w:cs="Consolas"/>
          <w:sz w:val="24"/>
          <w:szCs w:val="24"/>
        </w:rPr>
        <w:t xml:space="preserve">   </w:t>
      </w:r>
      <w:r w:rsidRPr="00C909C6">
        <w:rPr>
          <w:rFonts w:ascii="Liberation Sans Narrow" w:hAnsi="Liberation Sans Narrow" w:cs="Consolas"/>
          <w:sz w:val="24"/>
          <w:szCs w:val="24"/>
        </w:rPr>
        <w:tab/>
      </w:r>
      <w:r w:rsidR="00663854">
        <w:rPr>
          <w:rFonts w:ascii="Liberation Sans Narrow" w:hAnsi="Liberation Sans Narrow" w:cs="Consolas"/>
          <w:sz w:val="24"/>
          <w:szCs w:val="24"/>
        </w:rPr>
        <w:t xml:space="preserve">  </w:t>
      </w:r>
      <w:r>
        <w:rPr>
          <w:rFonts w:ascii="Liberation Sans Narrow" w:hAnsi="Liberation Sans Narrow" w:cs="Consolas"/>
          <w:sz w:val="24"/>
          <w:szCs w:val="24"/>
          <w:lang w:val="en-US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- </w:t>
      </w:r>
      <w:r>
        <w:rPr>
          <w:rFonts w:ascii="Liberation Sans Narrow" w:hAnsi="Liberation Sans Narrow" w:cs="Consolas"/>
          <w:sz w:val="24"/>
          <w:szCs w:val="24"/>
        </w:rPr>
        <w:t>1</w:t>
      </w:r>
      <w:r w:rsidR="00405E36">
        <w:rPr>
          <w:rFonts w:ascii="Liberation Sans Narrow" w:hAnsi="Liberation Sans Narrow" w:cs="Consolas"/>
          <w:sz w:val="24"/>
          <w:szCs w:val="24"/>
        </w:rPr>
        <w:t>66</w:t>
      </w:r>
      <w:r>
        <w:rPr>
          <w:rFonts w:ascii="Liberation Sans Narrow" w:hAnsi="Liberation Sans Narrow" w:cs="Consolas"/>
          <w:sz w:val="24"/>
          <w:szCs w:val="24"/>
        </w:rPr>
        <w:t>.</w:t>
      </w:r>
      <w:r w:rsidR="00405E36">
        <w:rPr>
          <w:rFonts w:ascii="Liberation Sans Narrow" w:hAnsi="Liberation Sans Narrow" w:cs="Consolas"/>
          <w:sz w:val="24"/>
          <w:szCs w:val="24"/>
        </w:rPr>
        <w:t>70</w:t>
      </w:r>
      <w:r>
        <w:rPr>
          <w:rFonts w:ascii="Liberation Sans Narrow" w:hAnsi="Liberation Sans Narrow" w:cs="Consolas"/>
          <w:sz w:val="24"/>
          <w:szCs w:val="24"/>
          <w:lang w:val="en-US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</w:t>
      </w:r>
      <w:proofErr w:type="spellStart"/>
      <w:r w:rsidRPr="00C909C6">
        <w:rPr>
          <w:rFonts w:ascii="Liberation Sans Narrow" w:hAnsi="Liberation Sans Narrow" w:cs="Consolas"/>
          <w:sz w:val="24"/>
          <w:szCs w:val="24"/>
        </w:rPr>
        <w:t>лв</w:t>
      </w:r>
      <w:proofErr w:type="spellEnd"/>
      <w:r w:rsidRPr="00C909C6">
        <w:rPr>
          <w:rFonts w:ascii="Liberation Sans Narrow" w:hAnsi="Liberation Sans Narrow" w:cs="Consolas"/>
          <w:sz w:val="24"/>
          <w:szCs w:val="24"/>
        </w:rPr>
        <w:t xml:space="preserve"> /</w:t>
      </w:r>
      <w:r w:rsidR="00405E36">
        <w:rPr>
          <w:rFonts w:ascii="Liberation Sans Narrow" w:hAnsi="Liberation Sans Narrow" w:cs="Consolas"/>
          <w:sz w:val="24"/>
          <w:szCs w:val="24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t>МВт</w:t>
      </w:r>
      <w:r w:rsidR="00405E36">
        <w:rPr>
          <w:rFonts w:ascii="Liberation Sans Narrow" w:hAnsi="Liberation Sans Narrow" w:cs="Consolas"/>
          <w:sz w:val="24"/>
          <w:szCs w:val="24"/>
        </w:rPr>
        <w:t>ч.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без ДДС</w:t>
      </w:r>
    </w:p>
    <w:p w14:paraId="4C49478D" w14:textId="2B5228A7" w:rsidR="00F756C2" w:rsidRPr="00C909C6" w:rsidRDefault="00F756C2" w:rsidP="00F756C2">
      <w:pPr>
        <w:shd w:val="clear" w:color="auto" w:fill="FFFFFF" w:themeFill="background1"/>
        <w:spacing w:after="0"/>
        <w:ind w:left="709" w:firstLine="142"/>
        <w:jc w:val="both"/>
        <w:rPr>
          <w:rFonts w:ascii="Liberation Sans Narrow" w:hAnsi="Liberation Sans Narrow" w:cs="Consolas"/>
          <w:sz w:val="24"/>
          <w:szCs w:val="24"/>
        </w:rPr>
      </w:pPr>
      <w:r w:rsidRPr="00C909C6">
        <w:rPr>
          <w:rFonts w:ascii="Liberation Sans Narrow" w:hAnsi="Liberation Sans Narrow" w:cs="Consolas"/>
          <w:sz w:val="24"/>
          <w:szCs w:val="24"/>
        </w:rPr>
        <w:t>Цена на електрическа енергия от комбинирано производство</w:t>
      </w:r>
      <w:r w:rsidR="00452FD9">
        <w:rPr>
          <w:rFonts w:ascii="Liberation Sans Narrow" w:hAnsi="Liberation Sans Narrow" w:cs="Consolas"/>
          <w:sz w:val="24"/>
          <w:szCs w:val="24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- </w:t>
      </w:r>
      <w:r w:rsidR="00452FD9">
        <w:rPr>
          <w:rFonts w:ascii="Liberation Sans Narrow" w:hAnsi="Liberation Sans Narrow" w:cs="Consolas"/>
          <w:sz w:val="24"/>
          <w:szCs w:val="24"/>
        </w:rPr>
        <w:t>5</w:t>
      </w:r>
      <w:r w:rsidR="00405E36">
        <w:rPr>
          <w:rFonts w:ascii="Liberation Sans Narrow" w:hAnsi="Liberation Sans Narrow" w:cs="Consolas"/>
          <w:sz w:val="24"/>
          <w:szCs w:val="24"/>
        </w:rPr>
        <w:t>34</w:t>
      </w:r>
      <w:r>
        <w:rPr>
          <w:rFonts w:ascii="Liberation Sans Narrow" w:hAnsi="Liberation Sans Narrow" w:cs="Consolas"/>
          <w:sz w:val="24"/>
          <w:szCs w:val="24"/>
        </w:rPr>
        <w:t>,</w:t>
      </w:r>
      <w:r w:rsidR="00452FD9">
        <w:rPr>
          <w:rFonts w:ascii="Liberation Sans Narrow" w:hAnsi="Liberation Sans Narrow" w:cs="Consolas"/>
          <w:sz w:val="24"/>
          <w:szCs w:val="24"/>
        </w:rPr>
        <w:t>6</w:t>
      </w:r>
      <w:r w:rsidR="00F44AF2">
        <w:rPr>
          <w:rFonts w:ascii="Liberation Sans Narrow" w:hAnsi="Liberation Sans Narrow" w:cs="Consolas"/>
          <w:sz w:val="24"/>
          <w:szCs w:val="24"/>
        </w:rPr>
        <w:t>9</w:t>
      </w:r>
      <w:r>
        <w:rPr>
          <w:rFonts w:ascii="Liberation Sans Narrow" w:hAnsi="Liberation Sans Narrow" w:cs="Consolas"/>
          <w:sz w:val="24"/>
          <w:szCs w:val="24"/>
          <w:lang w:val="en-US"/>
        </w:rPr>
        <w:t xml:space="preserve"> </w:t>
      </w:r>
      <w:proofErr w:type="spellStart"/>
      <w:r w:rsidRPr="00C909C6">
        <w:rPr>
          <w:rFonts w:ascii="Liberation Sans Narrow" w:hAnsi="Liberation Sans Narrow" w:cs="Consolas"/>
          <w:sz w:val="24"/>
          <w:szCs w:val="24"/>
        </w:rPr>
        <w:t>лв</w:t>
      </w:r>
      <w:proofErr w:type="spellEnd"/>
      <w:r w:rsidR="00405E36">
        <w:rPr>
          <w:rFonts w:ascii="Liberation Sans Narrow" w:hAnsi="Liberation Sans Narrow" w:cs="Consolas"/>
          <w:sz w:val="24"/>
          <w:szCs w:val="24"/>
        </w:rPr>
        <w:t xml:space="preserve"> </w:t>
      </w:r>
      <w:r w:rsidRPr="00C909C6">
        <w:rPr>
          <w:rFonts w:ascii="Liberation Sans Narrow" w:hAnsi="Liberation Sans Narrow" w:cs="Consolas"/>
          <w:sz w:val="24"/>
          <w:szCs w:val="24"/>
        </w:rPr>
        <w:t>/</w:t>
      </w:r>
      <w:r w:rsidR="00405E36">
        <w:rPr>
          <w:rFonts w:ascii="Liberation Sans Narrow" w:hAnsi="Liberation Sans Narrow" w:cs="Consolas"/>
          <w:sz w:val="24"/>
          <w:szCs w:val="24"/>
        </w:rPr>
        <w:t xml:space="preserve"> </w:t>
      </w:r>
      <w:proofErr w:type="spellStart"/>
      <w:r w:rsidRPr="00C909C6">
        <w:rPr>
          <w:rFonts w:ascii="Liberation Sans Narrow" w:hAnsi="Liberation Sans Narrow" w:cs="Consolas"/>
          <w:sz w:val="24"/>
          <w:szCs w:val="24"/>
        </w:rPr>
        <w:t>МВТч</w:t>
      </w:r>
      <w:proofErr w:type="spellEnd"/>
      <w:r w:rsidR="00405E36">
        <w:rPr>
          <w:rFonts w:ascii="Liberation Sans Narrow" w:hAnsi="Liberation Sans Narrow" w:cs="Consolas"/>
          <w:sz w:val="24"/>
          <w:szCs w:val="24"/>
        </w:rPr>
        <w:t>.</w:t>
      </w:r>
      <w:r w:rsidRPr="00C909C6">
        <w:rPr>
          <w:rFonts w:ascii="Liberation Sans Narrow" w:hAnsi="Liberation Sans Narrow" w:cs="Consolas"/>
          <w:sz w:val="24"/>
          <w:szCs w:val="24"/>
        </w:rPr>
        <w:t xml:space="preserve"> без ДДС</w:t>
      </w:r>
    </w:p>
    <w:p w14:paraId="324AD1E7" w14:textId="77777777" w:rsidR="00F756C2" w:rsidRPr="00C909C6" w:rsidRDefault="00F756C2" w:rsidP="00F756C2">
      <w:pPr>
        <w:shd w:val="clear" w:color="auto" w:fill="FFFFFF" w:themeFill="background1"/>
        <w:spacing w:after="0"/>
        <w:ind w:left="709" w:firstLine="284"/>
        <w:jc w:val="both"/>
        <w:rPr>
          <w:rFonts w:ascii="Liberation Sans Narrow" w:hAnsi="Liberation Sans Narrow" w:cs="Consolas"/>
          <w:sz w:val="24"/>
          <w:szCs w:val="24"/>
        </w:rPr>
      </w:pPr>
    </w:p>
    <w:p w14:paraId="26583DEF" w14:textId="77777777" w:rsidR="00F756C2" w:rsidRPr="00836244" w:rsidRDefault="00F756C2" w:rsidP="00F756C2">
      <w:p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224CC6ED" w14:textId="77777777" w:rsidR="00F756C2" w:rsidRDefault="00F756C2" w:rsidP="00F756C2">
      <w:p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76784869" w14:textId="77777777" w:rsidR="00F756C2" w:rsidRDefault="00F756C2" w:rsidP="00F756C2">
      <w:p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7F7EEDEF" w14:textId="77777777" w:rsidR="00F756C2" w:rsidRDefault="00F756C2" w:rsidP="00F756C2">
      <w:p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437AEB86" w14:textId="77777777" w:rsidR="00F756C2" w:rsidRDefault="00F756C2" w:rsidP="00F756C2">
      <w:p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5DAA5DB4" w14:textId="687439B6" w:rsidR="00F756C2" w:rsidRPr="00836244" w:rsidRDefault="00405E36" w:rsidP="00F756C2">
      <w:p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>
        <w:rPr>
          <w:rFonts w:ascii="Liberation Sans Narrow" w:hAnsi="Liberation Sans Narrow" w:cs="Consolas"/>
          <w:sz w:val="24"/>
          <w:szCs w:val="24"/>
        </w:rPr>
        <w:t xml:space="preserve">Десислава </w:t>
      </w:r>
      <w:proofErr w:type="spellStart"/>
      <w:r>
        <w:rPr>
          <w:rFonts w:ascii="Liberation Sans Narrow" w:hAnsi="Liberation Sans Narrow" w:cs="Consolas"/>
          <w:sz w:val="24"/>
          <w:szCs w:val="24"/>
        </w:rPr>
        <w:t>Диловска</w:t>
      </w:r>
      <w:proofErr w:type="spellEnd"/>
      <w:r w:rsidR="00F756C2" w:rsidRPr="00680B49">
        <w:rPr>
          <w:rFonts w:ascii="Liberation Sans Narrow" w:hAnsi="Liberation Sans Narrow" w:cs="Consolas"/>
          <w:sz w:val="24"/>
          <w:szCs w:val="24"/>
        </w:rPr>
        <w:t xml:space="preserve"> </w:t>
      </w:r>
      <w:r w:rsidR="00F756C2">
        <w:rPr>
          <w:rFonts w:ascii="Liberation Sans Narrow" w:hAnsi="Liberation Sans Narrow" w:cs="Consolas"/>
          <w:sz w:val="24"/>
          <w:szCs w:val="24"/>
        </w:rPr>
        <w:tab/>
      </w:r>
      <w:r w:rsidR="00F756C2">
        <w:rPr>
          <w:rFonts w:ascii="Liberation Sans Narrow" w:hAnsi="Liberation Sans Narrow" w:cs="Consolas"/>
          <w:sz w:val="24"/>
          <w:szCs w:val="24"/>
        </w:rPr>
        <w:tab/>
      </w:r>
      <w:r w:rsidR="00F756C2">
        <w:rPr>
          <w:rFonts w:ascii="Liberation Sans Narrow" w:hAnsi="Liberation Sans Narrow" w:cs="Consolas"/>
          <w:sz w:val="24"/>
          <w:szCs w:val="24"/>
        </w:rPr>
        <w:tab/>
      </w:r>
      <w:r w:rsidR="00F756C2">
        <w:rPr>
          <w:rFonts w:ascii="Liberation Sans Narrow" w:hAnsi="Liberation Sans Narrow" w:cs="Consolas"/>
          <w:sz w:val="24"/>
          <w:szCs w:val="24"/>
        </w:rPr>
        <w:tab/>
      </w:r>
      <w:r w:rsidR="00F756C2">
        <w:rPr>
          <w:rFonts w:ascii="Liberation Sans Narrow" w:hAnsi="Liberation Sans Narrow" w:cs="Consolas"/>
          <w:sz w:val="24"/>
          <w:szCs w:val="24"/>
        </w:rPr>
        <w:tab/>
      </w:r>
      <w:r w:rsidR="00F756C2">
        <w:rPr>
          <w:rFonts w:ascii="Liberation Sans Narrow" w:hAnsi="Liberation Sans Narrow" w:cs="Consolas"/>
          <w:sz w:val="24"/>
          <w:szCs w:val="24"/>
        </w:rPr>
        <w:tab/>
      </w:r>
      <w:r w:rsidR="00F756C2" w:rsidRPr="00836244">
        <w:rPr>
          <w:rFonts w:ascii="Liberation Sans Narrow" w:hAnsi="Liberation Sans Narrow" w:cs="Consolas"/>
          <w:sz w:val="24"/>
          <w:szCs w:val="24"/>
        </w:rPr>
        <w:t>инж. РАДОСЛАВ МИХАЙЛОВ</w:t>
      </w:r>
    </w:p>
    <w:p w14:paraId="6BD99D0D" w14:textId="6FE6E60B" w:rsidR="00F756C2" w:rsidRPr="008279CF" w:rsidRDefault="00F756C2" w:rsidP="00F756C2">
      <w:pPr>
        <w:shd w:val="clear" w:color="auto" w:fill="FFFFFF" w:themeFill="background1"/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>
        <w:rPr>
          <w:rFonts w:ascii="Liberation Sans Narrow" w:hAnsi="Liberation Sans Narrow" w:cs="Consolas"/>
          <w:sz w:val="24"/>
          <w:szCs w:val="24"/>
        </w:rPr>
        <w:t>Р-л счет</w:t>
      </w:r>
      <w:r w:rsidR="00405E36">
        <w:rPr>
          <w:rFonts w:ascii="Liberation Sans Narrow" w:hAnsi="Liberation Sans Narrow" w:cs="Consolas"/>
          <w:sz w:val="24"/>
          <w:szCs w:val="24"/>
        </w:rPr>
        <w:t>оводен</w:t>
      </w:r>
      <w:r>
        <w:rPr>
          <w:rFonts w:ascii="Liberation Sans Narrow" w:hAnsi="Liberation Sans Narrow" w:cs="Consolas"/>
          <w:sz w:val="24"/>
          <w:szCs w:val="24"/>
        </w:rPr>
        <w:t xml:space="preserve"> отдел</w:t>
      </w:r>
      <w:r>
        <w:rPr>
          <w:rFonts w:ascii="Liberation Sans Narrow" w:hAnsi="Liberation Sans Narrow" w:cs="Consolas"/>
          <w:sz w:val="24"/>
          <w:szCs w:val="24"/>
        </w:rPr>
        <w:tab/>
      </w:r>
      <w:r>
        <w:rPr>
          <w:rFonts w:ascii="Liberation Sans Narrow" w:hAnsi="Liberation Sans Narrow" w:cs="Consolas"/>
          <w:sz w:val="24"/>
          <w:szCs w:val="24"/>
        </w:rPr>
        <w:tab/>
      </w:r>
      <w:r>
        <w:rPr>
          <w:rFonts w:ascii="Liberation Sans Narrow" w:hAnsi="Liberation Sans Narrow" w:cs="Consolas"/>
          <w:sz w:val="24"/>
          <w:szCs w:val="24"/>
        </w:rPr>
        <w:tab/>
      </w:r>
      <w:r>
        <w:rPr>
          <w:rFonts w:ascii="Liberation Sans Narrow" w:hAnsi="Liberation Sans Narrow" w:cs="Consolas"/>
          <w:sz w:val="24"/>
          <w:szCs w:val="24"/>
        </w:rPr>
        <w:tab/>
      </w:r>
      <w:r>
        <w:rPr>
          <w:rFonts w:ascii="Liberation Sans Narrow" w:hAnsi="Liberation Sans Narrow" w:cs="Consolas"/>
          <w:sz w:val="24"/>
          <w:szCs w:val="24"/>
        </w:rPr>
        <w:tab/>
      </w:r>
      <w:r>
        <w:rPr>
          <w:rFonts w:ascii="Liberation Sans Narrow" w:hAnsi="Liberation Sans Narrow" w:cs="Consolas"/>
          <w:sz w:val="24"/>
          <w:szCs w:val="24"/>
        </w:rPr>
        <w:tab/>
      </w:r>
      <w:r w:rsidRPr="00836244">
        <w:rPr>
          <w:rFonts w:ascii="Liberation Sans Narrow" w:hAnsi="Liberation Sans Narrow" w:cs="Consolas"/>
          <w:sz w:val="24"/>
          <w:szCs w:val="24"/>
        </w:rPr>
        <w:t>ИЗПЪЛНИТЕЛЕН</w:t>
      </w:r>
      <w:r w:rsidRPr="00FF49DC">
        <w:rPr>
          <w:rFonts w:ascii="Liberation Sans Narrow" w:hAnsi="Liberation Sans Narrow" w:cs="Consolas"/>
          <w:sz w:val="24"/>
          <w:szCs w:val="24"/>
        </w:rPr>
        <w:t xml:space="preserve"> ДИРЕКТОР</w:t>
      </w:r>
    </w:p>
    <w:p w14:paraId="4EAE6763" w14:textId="77777777" w:rsidR="0097485C" w:rsidRDefault="0097485C" w:rsidP="0097485C">
      <w:pPr>
        <w:spacing w:after="0"/>
        <w:jc w:val="center"/>
        <w:outlineLvl w:val="0"/>
        <w:rPr>
          <w:rFonts w:ascii="Liberation Sans Narrow" w:hAnsi="Liberation Sans Narrow" w:cs="Consolas"/>
          <w:sz w:val="24"/>
          <w:szCs w:val="24"/>
        </w:rPr>
      </w:pPr>
    </w:p>
    <w:p w14:paraId="74F7026F" w14:textId="77777777" w:rsidR="0097485C" w:rsidRDefault="0097485C" w:rsidP="0097485C">
      <w:pPr>
        <w:spacing w:after="0"/>
        <w:jc w:val="center"/>
        <w:outlineLvl w:val="0"/>
        <w:rPr>
          <w:rFonts w:ascii="Liberation Sans Narrow" w:hAnsi="Liberation Sans Narrow" w:cs="Consolas"/>
          <w:sz w:val="24"/>
          <w:szCs w:val="24"/>
        </w:rPr>
      </w:pPr>
    </w:p>
    <w:p w14:paraId="0E2C4868" w14:textId="77777777" w:rsidR="0097485C" w:rsidRDefault="0097485C" w:rsidP="0097485C">
      <w:pPr>
        <w:spacing w:after="0"/>
        <w:jc w:val="center"/>
        <w:outlineLvl w:val="0"/>
        <w:rPr>
          <w:rFonts w:ascii="Liberation Sans Narrow" w:hAnsi="Liberation Sans Narrow" w:cs="Consolas"/>
          <w:sz w:val="24"/>
          <w:szCs w:val="24"/>
        </w:rPr>
      </w:pPr>
    </w:p>
    <w:p w14:paraId="32E02E7A" w14:textId="77777777" w:rsidR="0097485C" w:rsidRDefault="0097485C" w:rsidP="0097485C">
      <w:pPr>
        <w:spacing w:after="0"/>
        <w:jc w:val="center"/>
        <w:outlineLvl w:val="0"/>
        <w:rPr>
          <w:rFonts w:ascii="Liberation Sans Narrow" w:hAnsi="Liberation Sans Narrow" w:cs="Consolas"/>
          <w:sz w:val="24"/>
          <w:szCs w:val="24"/>
        </w:rPr>
      </w:pPr>
    </w:p>
    <w:p w14:paraId="6E32AEA5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2962DA44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505C32F3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7C1B82B8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3998A1A0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744D5446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7F2DC141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7154135C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4672C301" w14:textId="77777777" w:rsidR="0097485C" w:rsidRPr="005625BF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3BAFE870" w14:textId="77777777" w:rsidR="0097485C" w:rsidRPr="005625BF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27291E41" w14:textId="27164875" w:rsidR="0097485C" w:rsidRPr="005625BF" w:rsidRDefault="0097485C" w:rsidP="00405E36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ab/>
      </w:r>
    </w:p>
    <w:p w14:paraId="6F7A6B04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1A053798" w14:textId="5297BBE0" w:rsidR="000C30A0" w:rsidRDefault="000C30A0" w:rsidP="008825C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C30A0" w:rsidSect="000C30A0">
      <w:headerReference w:type="default" r:id="rId10"/>
      <w:pgSz w:w="11906" w:h="16838"/>
      <w:pgMar w:top="851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58DD8" w14:textId="77777777" w:rsidR="00831B7F" w:rsidRDefault="00831B7F" w:rsidP="00220783">
      <w:pPr>
        <w:spacing w:after="0" w:line="240" w:lineRule="auto"/>
      </w:pPr>
      <w:r>
        <w:separator/>
      </w:r>
    </w:p>
  </w:endnote>
  <w:endnote w:type="continuationSeparator" w:id="0">
    <w:p w14:paraId="70EB5D42" w14:textId="77777777" w:rsidR="00831B7F" w:rsidRDefault="00831B7F" w:rsidP="00220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 Narrow">
    <w:altName w:val="Arial Narrow"/>
    <w:charset w:val="CC"/>
    <w:family w:val="swiss"/>
    <w:pitch w:val="variable"/>
    <w:sig w:usb0="00000001" w:usb1="500078F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956FB" w14:textId="77777777" w:rsidR="00831B7F" w:rsidRDefault="00831B7F" w:rsidP="00220783">
      <w:pPr>
        <w:spacing w:after="0" w:line="240" w:lineRule="auto"/>
      </w:pPr>
      <w:r>
        <w:separator/>
      </w:r>
    </w:p>
  </w:footnote>
  <w:footnote w:type="continuationSeparator" w:id="0">
    <w:p w14:paraId="7CC824C3" w14:textId="77777777" w:rsidR="00831B7F" w:rsidRDefault="00831B7F" w:rsidP="00220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59279" w14:textId="77777777" w:rsidR="00D912A8" w:rsidRDefault="00D912A8" w:rsidP="00220783">
    <w:pPr>
      <w:pStyle w:val="Header"/>
      <w:jc w:val="right"/>
      <w:rPr>
        <w:rFonts w:ascii="Times New Roman" w:hAnsi="Times New Roman" w:cs="Times New Roman"/>
      </w:rPr>
    </w:pPr>
  </w:p>
  <w:p w14:paraId="4DE12138" w14:textId="77777777" w:rsidR="00D912A8" w:rsidRDefault="00D912A8" w:rsidP="00220783">
    <w:pPr>
      <w:pStyle w:val="Header"/>
      <w:jc w:val="right"/>
      <w:rPr>
        <w:rFonts w:ascii="Times New Roman" w:hAnsi="Times New Roman" w:cs="Times New Roman"/>
      </w:rPr>
    </w:pPr>
  </w:p>
  <w:p w14:paraId="50C44572" w14:textId="77777777" w:rsidR="00220783" w:rsidRPr="00220783" w:rsidRDefault="00220783" w:rsidP="00220783">
    <w:pPr>
      <w:pStyle w:val="Header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862A2"/>
    <w:multiLevelType w:val="hybridMultilevel"/>
    <w:tmpl w:val="5EB60118"/>
    <w:lvl w:ilvl="0" w:tplc="B4EC63D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2C64B2D"/>
    <w:multiLevelType w:val="hybridMultilevel"/>
    <w:tmpl w:val="7E26DD34"/>
    <w:lvl w:ilvl="0" w:tplc="0402000F">
      <w:start w:val="1"/>
      <w:numFmt w:val="decimal"/>
      <w:lvlText w:val="%1."/>
      <w:lvlJc w:val="left"/>
      <w:pPr>
        <w:ind w:left="1420" w:hanging="360"/>
      </w:pPr>
    </w:lvl>
    <w:lvl w:ilvl="1" w:tplc="04020019">
      <w:start w:val="1"/>
      <w:numFmt w:val="lowerLetter"/>
      <w:lvlText w:val="%2."/>
      <w:lvlJc w:val="left"/>
      <w:pPr>
        <w:ind w:left="2140" w:hanging="360"/>
      </w:pPr>
    </w:lvl>
    <w:lvl w:ilvl="2" w:tplc="0402001B" w:tentative="1">
      <w:start w:val="1"/>
      <w:numFmt w:val="lowerRoman"/>
      <w:lvlText w:val="%3."/>
      <w:lvlJc w:val="right"/>
      <w:pPr>
        <w:ind w:left="2860" w:hanging="180"/>
      </w:pPr>
    </w:lvl>
    <w:lvl w:ilvl="3" w:tplc="0402000F" w:tentative="1">
      <w:start w:val="1"/>
      <w:numFmt w:val="decimal"/>
      <w:lvlText w:val="%4."/>
      <w:lvlJc w:val="left"/>
      <w:pPr>
        <w:ind w:left="3580" w:hanging="360"/>
      </w:pPr>
    </w:lvl>
    <w:lvl w:ilvl="4" w:tplc="04020019" w:tentative="1">
      <w:start w:val="1"/>
      <w:numFmt w:val="lowerLetter"/>
      <w:lvlText w:val="%5."/>
      <w:lvlJc w:val="left"/>
      <w:pPr>
        <w:ind w:left="4300" w:hanging="360"/>
      </w:pPr>
    </w:lvl>
    <w:lvl w:ilvl="5" w:tplc="0402001B" w:tentative="1">
      <w:start w:val="1"/>
      <w:numFmt w:val="lowerRoman"/>
      <w:lvlText w:val="%6."/>
      <w:lvlJc w:val="right"/>
      <w:pPr>
        <w:ind w:left="5020" w:hanging="180"/>
      </w:pPr>
    </w:lvl>
    <w:lvl w:ilvl="6" w:tplc="0402000F" w:tentative="1">
      <w:start w:val="1"/>
      <w:numFmt w:val="decimal"/>
      <w:lvlText w:val="%7."/>
      <w:lvlJc w:val="left"/>
      <w:pPr>
        <w:ind w:left="5740" w:hanging="360"/>
      </w:pPr>
    </w:lvl>
    <w:lvl w:ilvl="7" w:tplc="04020019" w:tentative="1">
      <w:start w:val="1"/>
      <w:numFmt w:val="lowerLetter"/>
      <w:lvlText w:val="%8."/>
      <w:lvlJc w:val="left"/>
      <w:pPr>
        <w:ind w:left="6460" w:hanging="360"/>
      </w:pPr>
    </w:lvl>
    <w:lvl w:ilvl="8" w:tplc="0402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" w15:restartNumberingAfterBreak="0">
    <w:nsid w:val="54D367F0"/>
    <w:multiLevelType w:val="hybridMultilevel"/>
    <w:tmpl w:val="2D347E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B2BCC"/>
    <w:multiLevelType w:val="hybridMultilevel"/>
    <w:tmpl w:val="ED86E4E6"/>
    <w:lvl w:ilvl="0" w:tplc="0402000B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4" w15:restartNumberingAfterBreak="0">
    <w:nsid w:val="5B2E35FA"/>
    <w:multiLevelType w:val="hybridMultilevel"/>
    <w:tmpl w:val="6A302A34"/>
    <w:lvl w:ilvl="0" w:tplc="FC7A5BD0">
      <w:start w:val="1"/>
      <w:numFmt w:val="decimal"/>
      <w:lvlText w:val="%1."/>
      <w:lvlJc w:val="left"/>
      <w:pPr>
        <w:ind w:left="1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0" w:hanging="360"/>
      </w:pPr>
    </w:lvl>
    <w:lvl w:ilvl="2" w:tplc="0402001B" w:tentative="1">
      <w:start w:val="1"/>
      <w:numFmt w:val="lowerRoman"/>
      <w:lvlText w:val="%3."/>
      <w:lvlJc w:val="right"/>
      <w:pPr>
        <w:ind w:left="3220" w:hanging="180"/>
      </w:pPr>
    </w:lvl>
    <w:lvl w:ilvl="3" w:tplc="0402000F" w:tentative="1">
      <w:start w:val="1"/>
      <w:numFmt w:val="decimal"/>
      <w:lvlText w:val="%4."/>
      <w:lvlJc w:val="left"/>
      <w:pPr>
        <w:ind w:left="3940" w:hanging="360"/>
      </w:pPr>
    </w:lvl>
    <w:lvl w:ilvl="4" w:tplc="04020019" w:tentative="1">
      <w:start w:val="1"/>
      <w:numFmt w:val="lowerLetter"/>
      <w:lvlText w:val="%5."/>
      <w:lvlJc w:val="left"/>
      <w:pPr>
        <w:ind w:left="4660" w:hanging="360"/>
      </w:pPr>
    </w:lvl>
    <w:lvl w:ilvl="5" w:tplc="0402001B" w:tentative="1">
      <w:start w:val="1"/>
      <w:numFmt w:val="lowerRoman"/>
      <w:lvlText w:val="%6."/>
      <w:lvlJc w:val="right"/>
      <w:pPr>
        <w:ind w:left="5380" w:hanging="180"/>
      </w:pPr>
    </w:lvl>
    <w:lvl w:ilvl="6" w:tplc="0402000F" w:tentative="1">
      <w:start w:val="1"/>
      <w:numFmt w:val="decimal"/>
      <w:lvlText w:val="%7."/>
      <w:lvlJc w:val="left"/>
      <w:pPr>
        <w:ind w:left="6100" w:hanging="360"/>
      </w:pPr>
    </w:lvl>
    <w:lvl w:ilvl="7" w:tplc="04020019" w:tentative="1">
      <w:start w:val="1"/>
      <w:numFmt w:val="lowerLetter"/>
      <w:lvlText w:val="%8."/>
      <w:lvlJc w:val="left"/>
      <w:pPr>
        <w:ind w:left="6820" w:hanging="360"/>
      </w:pPr>
    </w:lvl>
    <w:lvl w:ilvl="8" w:tplc="0402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5" w15:restartNumberingAfterBreak="0">
    <w:nsid w:val="644170EF"/>
    <w:multiLevelType w:val="hybridMultilevel"/>
    <w:tmpl w:val="83F4BA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067992">
    <w:abstractNumId w:val="5"/>
  </w:num>
  <w:num w:numId="2" w16cid:durableId="105806667">
    <w:abstractNumId w:val="2"/>
  </w:num>
  <w:num w:numId="3" w16cid:durableId="1000503964">
    <w:abstractNumId w:val="1"/>
  </w:num>
  <w:num w:numId="4" w16cid:durableId="1171871203">
    <w:abstractNumId w:val="0"/>
  </w:num>
  <w:num w:numId="5" w16cid:durableId="1099064115">
    <w:abstractNumId w:val="4"/>
  </w:num>
  <w:num w:numId="6" w16cid:durableId="467283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EB"/>
    <w:rsid w:val="00003394"/>
    <w:rsid w:val="00021F3E"/>
    <w:rsid w:val="000343F4"/>
    <w:rsid w:val="00045DCC"/>
    <w:rsid w:val="00066643"/>
    <w:rsid w:val="000C30A0"/>
    <w:rsid w:val="000D2DDA"/>
    <w:rsid w:val="001032FB"/>
    <w:rsid w:val="00103FF7"/>
    <w:rsid w:val="00131E02"/>
    <w:rsid w:val="00180456"/>
    <w:rsid w:val="00193DC8"/>
    <w:rsid w:val="001A12EE"/>
    <w:rsid w:val="00220783"/>
    <w:rsid w:val="00276C00"/>
    <w:rsid w:val="00282A48"/>
    <w:rsid w:val="00283C3C"/>
    <w:rsid w:val="002F6D08"/>
    <w:rsid w:val="00323D96"/>
    <w:rsid w:val="00354245"/>
    <w:rsid w:val="00387904"/>
    <w:rsid w:val="003A6F10"/>
    <w:rsid w:val="003C77AD"/>
    <w:rsid w:val="00404349"/>
    <w:rsid w:val="00405E36"/>
    <w:rsid w:val="00452FD9"/>
    <w:rsid w:val="004E06D3"/>
    <w:rsid w:val="004E2DF0"/>
    <w:rsid w:val="00500100"/>
    <w:rsid w:val="005B16A6"/>
    <w:rsid w:val="005B37D5"/>
    <w:rsid w:val="005B7A09"/>
    <w:rsid w:val="005F46F2"/>
    <w:rsid w:val="00663854"/>
    <w:rsid w:val="00690CB6"/>
    <w:rsid w:val="007322A8"/>
    <w:rsid w:val="00733C00"/>
    <w:rsid w:val="00742DCC"/>
    <w:rsid w:val="00760E0B"/>
    <w:rsid w:val="0078212B"/>
    <w:rsid w:val="007E223E"/>
    <w:rsid w:val="00831B7F"/>
    <w:rsid w:val="008825CE"/>
    <w:rsid w:val="008E6238"/>
    <w:rsid w:val="008F6315"/>
    <w:rsid w:val="00913C8F"/>
    <w:rsid w:val="009343AB"/>
    <w:rsid w:val="00944A73"/>
    <w:rsid w:val="0097485C"/>
    <w:rsid w:val="0098712D"/>
    <w:rsid w:val="00997775"/>
    <w:rsid w:val="00997EBD"/>
    <w:rsid w:val="009C51B6"/>
    <w:rsid w:val="00A020A4"/>
    <w:rsid w:val="00A41446"/>
    <w:rsid w:val="00A90648"/>
    <w:rsid w:val="00AE35E7"/>
    <w:rsid w:val="00B435F3"/>
    <w:rsid w:val="00B75F96"/>
    <w:rsid w:val="00BC57E6"/>
    <w:rsid w:val="00BD4B4F"/>
    <w:rsid w:val="00C10AEB"/>
    <w:rsid w:val="00C12450"/>
    <w:rsid w:val="00C200AC"/>
    <w:rsid w:val="00C3455A"/>
    <w:rsid w:val="00CE5470"/>
    <w:rsid w:val="00D14D85"/>
    <w:rsid w:val="00D150DE"/>
    <w:rsid w:val="00D632EB"/>
    <w:rsid w:val="00D72033"/>
    <w:rsid w:val="00D7304F"/>
    <w:rsid w:val="00D73AD7"/>
    <w:rsid w:val="00D912A8"/>
    <w:rsid w:val="00DC5B63"/>
    <w:rsid w:val="00DD707B"/>
    <w:rsid w:val="00E14C28"/>
    <w:rsid w:val="00E27631"/>
    <w:rsid w:val="00E7713C"/>
    <w:rsid w:val="00E91782"/>
    <w:rsid w:val="00EB7B84"/>
    <w:rsid w:val="00ED614B"/>
    <w:rsid w:val="00EF0DF2"/>
    <w:rsid w:val="00F44AF2"/>
    <w:rsid w:val="00F628FA"/>
    <w:rsid w:val="00F756C2"/>
    <w:rsid w:val="00F943F2"/>
    <w:rsid w:val="00FA104D"/>
    <w:rsid w:val="00FA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75CBCA9E"/>
  <w15:docId w15:val="{6BE60AC9-E41F-457F-B4A0-2F5A7700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4245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354245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NoSpacing">
    <w:name w:val="No Spacing"/>
    <w:uiPriority w:val="1"/>
    <w:qFormat/>
    <w:rsid w:val="00D632E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B7A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2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0783"/>
  </w:style>
  <w:style w:type="paragraph" w:styleId="Footer">
    <w:name w:val="footer"/>
    <w:basedOn w:val="Normal"/>
    <w:link w:val="FooterChar"/>
    <w:uiPriority w:val="99"/>
    <w:semiHidden/>
    <w:unhideWhenUsed/>
    <w:rsid w:val="0022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0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isheva\Desktop\&#1055;&#1080;&#1089;&#1084;&#1086;%20&#1087;&#1088;&#1080;&#1084;&#1077;&#1088;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F80BB-8579-4B5D-9B61-14B4F65D3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Писмо пример</Template>
  <TotalTime>93</TotalTime>
  <Pages>4</Pages>
  <Words>1402</Words>
  <Characters>7996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AFisheva</dc:creator>
  <cp:lastModifiedBy>Anna Asenova</cp:lastModifiedBy>
  <cp:revision>7</cp:revision>
  <cp:lastPrinted>2023-04-11T06:59:00Z</cp:lastPrinted>
  <dcterms:created xsi:type="dcterms:W3CDTF">2025-03-12T08:58:00Z</dcterms:created>
  <dcterms:modified xsi:type="dcterms:W3CDTF">2025-03-28T06:43:00Z</dcterms:modified>
</cp:coreProperties>
</file>